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一、数据诊断与复权处理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1.1 数据复权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股票分红送股会在除权除息日产生股价跳空缺口。不复权时，这些缺口会被均线策略误判为趋势转折，导致回测收益率严重失真。例如10送10的股票不复权会出现股价腰斩，产生虚假的卖出信号。本报告所有数据均来自AKShare前复权（qfq）接口，以最新股本为基准向后调整历史价格，保证了历史收益率计算的正确性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1.2 数据质量诊断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以贵州茅台（600519.SH）为主要标的，数据范围2025-05-29至2026-07-03，共267个交易日，五个核心字段（OHLCV）均无缺失值。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统计量</w:t>
            </w:r>
          </w:p>
        </w:tc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数值</w:t>
            </w:r>
          </w:p>
        </w:tc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含义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均值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1373.06 元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区间内收盘价算术平均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标准差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64.29 元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收盘价离散程度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最小值 / 最大值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1168.63 / 1526.98 元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价格区间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偏度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-1.1395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负值=左偏，正值=右偏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峰度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1.5065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正值=尖峰厚尾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收益率指标</w:t>
            </w:r>
          </w:p>
        </w:tc>
        <w:tc>
          <w:tcPr>
            <w:tcW w:type="dxa" w:w="431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数值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日均收益率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-0.0675%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日波动率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1.2819%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年化波动率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20.35%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最大回撤（价格）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-23.47%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Jarque-Bera检验：JB=948.09, p=0.000000，拒绝正态分布原假设，收益率呈非正态特征，与金融时间序列典型特征一致。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二、双均线策略原理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2.1 策略逻辑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双均线交叉策略是趋势跟踪策略的基础形态。短周期均线（如MA5）反映近期价格重心，长周期均线（如MA15）反映中期趋势背景。当短期均价上穿长期均价时，意味着市场愿意以更高价格入场，触发买入（金叉）；反之触发卖出（死叉）。策略的四个规则完全由数学条件确定：金叉全仓买入、死叉全部卖出、不做空、不主观干预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2.2 数学定义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简单移动平均线（SMA）的计算公式：</w:t>
      </w:r>
    </w:p>
    <w:p>
      <w:pPr>
        <w:jc w:val="center"/>
      </w:pPr>
      <m:oMathPara>
        <m:oMath>
          <m:r>
            <m:t xml:space="preserve">SMA</m:t>
          </m:r>
        </m:oMath>
        <m:oMath>
          <m:r>
            <m:t xml:space="preserve">_N</m:t>
          </m:r>
        </m:oMath>
        <m:oMath>
          <m:r>
            <m:t xml:space="preserve">(t) = </m:t>
          </m:r>
        </m:oMath>
        <m:oMath>
          <m:f>
            <m:num>
              <m:r>
                <m:t xml:space="preserve">1</m:t>
              </m:r>
            </m:num>
            <m:den>
              <m:r>
                <m:t xml:space="preserve">N</m:t>
              </m:r>
            </m:den>
          </m:f>
        </m:oMath>
        <m:oMath>
          <m:r>
            <m:t xml:space="preserve">  Σ_{i=0}^{N-1} Close</m:t>
          </m:r>
        </m:oMath>
        <m:oMath>
          <m:r>
            <m:t xml:space="preserve">_{t-i}</m:t>
          </m:r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金叉条件：SMA_short[t-1] &gt; SMA_long[t-1] 且 SMA_short[t-2] ≤ SMA_long[t-2]。死叉条件：SMA_short[t-1] &lt; SMA_long[t-1] 且 SMA_short[t-2] ≥ SMA_long[t-2]。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2.3 避免未来函数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未来函数（Look-ahead Bias）是回测中最常见的致命错误——用当日收盘价算均线来判断当日是否交易。本策略使用T-2和T-1的均线值判断信号（这两个值在T日开盘前已知），在T日以收盘价执行交易。这等价于“T日开盘确认信号→T日收盘执行”，是业界标准的折中方案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2.4 交易成本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回测模拟手续费0.03%（万三）和滑点0.01%。手续费买卖各收一次，滑点模拟订单执行延迟。单边总成本约0.04%，双边约0.08%。交互看板中两项成本均可调节。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三、量化策略评估指标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3.1 累计回报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反映策略总收益率，但不考虑时间长度和过程波动。</w:t>
      </w:r>
    </w:p>
    <w:p>
      <w:pPr>
        <w:jc w:val="center"/>
      </w:pPr>
      <m:oMathPara>
        <m:oMath>
          <m:r>
            <m:t xml:space="preserve">R</m:t>
          </m:r>
        </m:oMath>
        <m:oMath>
          <m:r>
            <m:t xml:space="preserve">_{cum}</m:t>
          </m:r>
        </m:oMath>
        <m:oMath>
          <m:r>
            <m:t xml:space="preserve"> = </m:t>
          </m:r>
        </m:oMath>
        <m:oMath>
          <m:f>
            <m:num>
              <m:r>
                <m:t xml:space="preserve">V_{final} − V_{init}</m:t>
              </m:r>
            </m:num>
            <m:den>
              <m:r>
                <m:t xml:space="preserve">V_{init}</m:t>
              </m:r>
            </m:den>
          </m:f>
        </m:oMath>
        <m:oMath>
          <m:r>
            <m:t xml:space="preserve"> × 100%</m:t>
          </m:r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3.2 年化收益率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将不同期限的收益率统一为年化口径（252个交易日/年），便于跨策略对比。长期年化&gt;10%已属优秀。</w:t>
      </w:r>
    </w:p>
    <w:p>
      <w:pPr>
        <w:jc w:val="center"/>
      </w:pPr>
      <m:oMathPara>
        <m:oMath>
          <m:r>
            <m:t xml:space="preserve">R_{ann} = [(V_{final}/V_{init})</m:t>
          </m:r>
        </m:oMath>
        <m:oMath>
          <m:r>
            <m:t xml:space="preserve">^{252/T}</m:t>
          </m:r>
        </m:oMath>
        <m:oMath>
          <m:r>
            <m:t xml:space="preserve"> − 1] × 100%</m:t>
          </m:r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3.3 最大回撤（MDD）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衡量策略从峰值到谷底的最大跌幅。MDD直接对应投资者的心理承受极限——回撤30%的策略在执行中绝大多数人会在底部止损离场。风控原则要求在策略设计之初设定回撤阈值。</w:t>
      </w:r>
    </w:p>
    <w:p>
      <w:pPr>
        <w:jc w:val="center"/>
      </w:pPr>
      <m:oMathPara>
        <m:oMath>
          <m:r>
            <m:t xml:space="preserve">MDD = max_{t} </m:t>
          </m:r>
        </m:oMath>
        <m:oMath>
          <m:f>
            <m:num>
              <m:r>
                <m:t xml:space="preserve">Peak(t) − Equity(t)</m:t>
              </m:r>
            </m:num>
            <m:den>
              <m:r>
                <m:t xml:space="preserve">Peak(t)</m:t>
              </m:r>
            </m:den>
          </m:f>
        </m:oMath>
        <m:oMath>
          <m:r>
            <m:t xml:space="preserve"> × 100%</m:t>
          </m:r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3.4 夏普比率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核心风险调整收益指标，衡量每单位波动风险换取的超额收益。&gt;1表示风险调整后表现良好，&gt;2为优秀，&lt;0表示未跑赢无风险利率（Rf≈2%）。</w:t>
      </w:r>
    </w:p>
    <w:p>
      <w:pPr>
        <w:jc w:val="center"/>
      </w:pPr>
      <m:oMathPara>
        <m:oMath>
          <m:r>
            <m:t xml:space="preserve">Sharpe = </m:t>
          </m:r>
        </m:oMath>
        <m:oMath>
          <m:f>
            <m:num>
              <m:r>
                <m:t xml:space="preserve">R</m:t>
              </m:r>
              <m:r>
                <m:t xml:space="preserve">_{ann}</m:t>
              </m:r>
              <m:r>
                <m:t xml:space="preserve"> − R</m:t>
              </m:r>
              <m:r>
                <m:t xml:space="preserve">_f</m:t>
              </m:r>
            </m:num>
            <m:den>
              <m:r>
                <m:t xml:space="preserve">σ</m:t>
              </m:r>
              <m:r>
                <m:t xml:space="preserve">_{ann}</m:t>
              </m:r>
            </m:den>
          </m:f>
        </m:oMath>
      </m:oMathPara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3.5 胜率与盈亏比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胜率=盈利次数/总次数。盈亏比=平均盈利/平均亏损。关键认知：胜率高不代表策略好，趋势跟踪策略的典型特征是“低胜率、高盈亏比”——多数交易小亏，少数交易大赚。一个胜率30%盈亏比5:1的策略，远优于胜率70%盈亏比0.5:1的策略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3.6 基准对比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回测结果必须与“买入持有”对比——如果在付出交易成本后收益不如持有不动，策略没有存在价值。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四、策略回测结果分析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以贵州茅台（600519.SH）日线数据，MA5+MA15，初始资金100万元，手续费0.03%，滑点0.01%，回测区间2025-05-29至2026-07-03。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4.1 交易信号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33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策略信号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3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图1：贵州茅台（600519）双均线策略交易信号（MA5 &amp; MA15，红色▲买入，绿色▼卖出）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图1展示了收盘价、MA5、MA15及买卖信号。共产生10次完整交易，盈利4次。2025年9-12月的横盘震荡区间内两条均线反复交叉，产生了多次假信号——这是双均线策略在震荡市中的典型表现。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4.2 资产曲线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66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资产曲线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66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图2：贵州茅台（600519）资产曲线对比——策略 vs 买入持有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策略累计回报-11.52%，年化-7.42%；买入持有累计回报-18.24%。策略相对基准跑赢6.72个百分点。从资产曲线看，策略在趋势阶段能捕捉机会，但震荡期的反复交易产生了成本损耗。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4.3 回撤分析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781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回撤曲线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7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图3：贵州茅台（600519）回撤曲线——MDD=-17.21%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策略MDD为-17.21%。回撤在可接受范围内。回撤低谷与卖出信号后的下跌阶段高度对应，验证了策略虽然无法精确预测每次下跌，但能在大趋势转折时及时退出。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4.4 绩效指标汇总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指标</w:t>
            </w:r>
          </w:p>
        </w:tc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数值</w:t>
            </w:r>
          </w:p>
        </w:tc>
        <w:tc>
          <w:tcPr>
            <w:tcW w:type="dxa" w:w="2878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评价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累计回报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-11.52%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负收益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年化收益率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-7.42%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为负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最大回撤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-17.21%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接近警戒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夏普比率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-1.10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跑输无风险利率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胜率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40.0%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趋势策略低胜率属正常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盈亏比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0.27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赚小亏大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交易次数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10次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约40天/次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买入持有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-18.24%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基准对比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4.5 交易明细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9"/>
        <w:gridCol w:w="1079"/>
        <w:gridCol w:w="1079"/>
        <w:gridCol w:w="1079"/>
        <w:gridCol w:w="1079"/>
        <w:gridCol w:w="1079"/>
        <w:gridCol w:w="1079"/>
        <w:gridCol w:w="1079"/>
      </w:tblGrid>
      <w:tr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#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买入日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买入价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卖出日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卖出价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持有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单笔收益</w:t>
            </w:r>
          </w:p>
        </w:tc>
        <w:tc>
          <w:tcPr>
            <w:tcW w:type="dxa" w:w="107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累计收益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2025-07-02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1357.76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2025-08-04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1366.88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33天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+0.61%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+0.61%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2025-08-18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1376.66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2025-08-19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1385.88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+0.61%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+1.23%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2025-08-21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1396.41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2025-09-22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1401.23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32天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+0.28%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+1.51%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2025-10-20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1406.09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2025-10-30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1374.62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-2.30%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-0.82%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2025-11-12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1413.31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2025-11-27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1395.18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15天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-1.34%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-2.15%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2025-12-19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1382.12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2026-01-05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1397.84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17天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+1.08%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-1.10%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7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2026-01-08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1384.42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2026-01-16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1353.84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8天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-2.27%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-3.34%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2026-02-03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1447.04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2026-02-27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1426.86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24天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-1.45%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-4.74%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9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2026-03-18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1440.92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2026-03-27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1387.86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9天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-3.74%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-8.31%</w:t>
            </w:r>
          </w:p>
        </w:tc>
      </w:tr>
      <w:tr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2026-04-03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1432.12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2026-04-20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1382.73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17天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-3.51%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-11.52%</w:t>
            </w:r>
          </w:p>
        </w:tc>
      </w:tr>
    </w:tbl>
    <w:p/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五、参数敏感性分析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对短均线（3,5,10,15,20,30）和长均线（10,15,20,30,40,60）进行36组网格扫描，分析参数影响。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5.1 网格扫描结果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741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0519_参数敏感性热力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7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图4：贵州茅台（600519）参数敏感性——累计回报与夏普比率热力图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热力图显示：(1) 短周期与长周期的间隔是关键因素——间隔过小导致频繁交叉、成本累积；间隔过大则信号过少、错失机会。(2) 夏普比率热力图通常比回报热力图更平滑，参数选择应优先参考夏普比率。(3) 表现好的参数通常形成“稳健区域”而非孤立的“尖锐峰值”，后一种情况往往是过拟合的信号。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5.2 过拟合风险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双均线策略只有两个参数，过拟合风险天然较低——这是简单策略的优势。防范过拟合三原则：(1) 参数必须有经济逻辑——MA5对应1周、MA15对应3周，时间尺度差异有实际意义；(2) 参数不应过度精细化——在14和15之间选14.37几乎肯定是过拟合；(3) 参数稳健性检验——最优参数周围的参数组合也应表现良好，而非孤峰。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六、多标的对比分析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选取6只标的（茅台、平安、宁德时代、比亚迪、腾讯、阿里巴巴），统一使用MA5+MA15参数回测对比。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6.1 回测结果对比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00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多股票策略对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00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60" w:lineRule="auto"/>
        <w:jc w:val="center"/>
      </w:pPr>
      <w:r>
        <w:rPr>
          <w:rFonts w:eastAsia="宋体" w:ascii="宋体" w:hAnsi="宋体"/>
          <w:b w:val="0"/>
          <w:sz w:val="18"/>
        </w:rPr>
        <w:t>图5：多股票双均线策略（MA5+MA15）回测对比——累计回报、夏普比率、最大回撤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标的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代码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累计回报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年化收益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MDD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夏普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胜率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买入持有</w:t>
            </w:r>
          </w:p>
        </w:tc>
        <w:tc>
          <w:tcPr>
            <w:tcW w:type="dxa" w:w="959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跑赢基准?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贵州茅台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600519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-11.52%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-7.42%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-17.21%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-1.10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40.0%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-18.24%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中国平安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601318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-2.45%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-1.55%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-24.24%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-0.16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42.9%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-0.30%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否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宁德时代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300750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10.70%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6.61%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-31.88%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0.40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33.3%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55.71%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否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比亚迪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002594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-11.41%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-7.35%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-17.78%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-0.65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11.1%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-25.72%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腾讯控股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00700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-13.07%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-8.45%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-33.12%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-0.71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10.0%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-14.48%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  <w:tr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阿里巴巴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09988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12.65%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7.80%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-25.01%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0.44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33.3%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-18.47%</w:t>
            </w:r>
          </w:p>
        </w:tc>
        <w:tc>
          <w:tcPr>
            <w:tcW w:type="dxa" w:w="959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是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6.2 策略适用条件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双均线策略的表现与标的的“趋势性”密切相关：(1) 高波动标的（宁德时代、比亚迪）潜在收益大但假信号多；低波动蓝筹（茅台）信号可靠性高但单笔收益小。(2) 策略在单边趋势市中效果最好，在区间震荡市中反复亏损。判断标的是否适合趋势策略可参考ADX指标——ADX长期&gt;25的标的更适合。(3) 交易成本对低价股影响更大，滑点占比上升会显著侵蚀策略表现。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七、交互式回测看板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本任务构建了自包含的交互式Web回测看板（Task3/dashboard/index.html），覆盖10只标的。所有回测计算在浏览器端完成，无需后端服务器。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7.1 核心功能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功能</w:t>
            </w:r>
          </w:p>
        </w:tc>
        <w:tc>
          <w:tcPr>
            <w:tcW w:type="dxa" w:w="4317"/>
            <w:shd w:fill="D9D9D9"/>
          </w:tcPr>
          <w:p>
            <w:pPr>
              <w:jc w:val="center"/>
            </w:pPr>
            <w:r/>
            <w:r>
              <w:rPr>
                <w:rFonts w:eastAsia="宋体" w:ascii="宋体" w:hAnsi="宋体"/>
                <w:b/>
                <w:sz w:val="18"/>
              </w:rPr>
              <w:t>说明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标的选择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10只标的（5A股+5港股），切换后即时重新回测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参数调节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短/长均线周期、时间范围、初始资金、手续费率、滑点率——滑块+数字双控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KPI卡片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累计回报、年化收益、MDD、夏普比率、胜率、盈亏比、交易次数、买入持有基准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价格信号图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收盘价+MA短+MA长+红色▲买入+绿色▼卖出，支持缩放拖拽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资产曲线图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策略资产(蓝) vs 买入持有(灰虚线)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回撤曲线图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回撤面积图，标注MDD值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交易明细表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每笔交易的买卖日期/价格/持有天数/收益率，盈利绿亏损红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纯前端回测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eastAsia="宋体" w:ascii="宋体" w:hAnsi="宋体"/>
                <w:sz w:val="18"/>
              </w:rPr>
              <w:t>参数修改即时生效，避免未来函数，成本自动扣除</w:t>
            </w:r>
          </w:p>
        </w:tc>
      </w:tr>
    </w:tbl>
    <w:p/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7.2 部署方式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看板已部署至GitHub Pages: https://rebekahlllimx.github.io/quant-trading-ai/Task3/dashboard/index.html。本地可直接双击打开HTML文件使用。</w:t>
      </w:r>
    </w:p>
    <w:p>
      <w:r>
        <w:br w:type="page"/>
      </w:r>
    </w:p>
    <w:p>
      <w:pPr>
        <w:spacing w:before="240" w:after="120" w:line="360" w:lineRule="auto"/>
        <w:jc w:val="both"/>
      </w:pPr>
      <w:r>
        <w:rPr>
          <w:rFonts w:eastAsia="宋体" w:ascii="宋体" w:hAnsi="宋体"/>
          <w:b/>
          <w:sz w:val="28"/>
        </w:rPr>
        <w:t>八、总结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本报告以贵州茅台为主要标的，完成了双均线交叉策略（MA5+MA15）的完整回测分析。策略累计回报-11.52%，年化-7.42%，MDD-17.21%，夏普-1.10，跑赢买入持有基准。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8.1 策略局限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1. 滞后性：均线是滞后指标，金叉确认时趋势已运行一段。这是趋势跟踪策略的固有特征。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2. 震荡市失效：无趋势的横盘行情中反复交叉产生假信号，累积成本侵蚀本金。可结合ADX过滤。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3. 单一信号源：仅依赖收盘价均线交叉，未使用成交量、波动率等补充信息。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4. 参数敏感性：不同MA周期组合结果差异大，历史最优参数不保证未来有效。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5. 极端行情：剧烈单边下跌中卖出信号出现在已跌一大段之后，需止损规则补充。</w:t>
      </w:r>
    </w:p>
    <w:p>
      <w:pPr>
        <w:spacing w:before="160" w:after="80" w:line="360" w:lineRule="auto"/>
        <w:jc w:val="both"/>
      </w:pPr>
      <w:r>
        <w:rPr>
          <w:rFonts w:eastAsia="宋体" w:ascii="宋体" w:hAnsi="宋体"/>
          <w:b/>
          <w:sz w:val="24"/>
        </w:rPr>
        <w:t>8.2 改进方向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1. 引入ADX趋势过滤器：ADX&lt;20时暂停交易，仅在趋势确立时启用信号。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2. 多周期均线确认：增加MA60过滤，仅当长期均线方向与交易方向一致时执行。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3. 动态仓位管理：基于ATR调整仓位，高波动时减仓、低波动时加仓。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4. 止盈止损机制：设置单笔止损（如-5%）和止盈（如+15%），控制单次亏损。</w:t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5. 多资产组合：同时应用于多只低相关性标的，通过分散化降低整体回撤。</w:t>
      </w:r>
    </w:p>
    <w:p>
      <w:pPr>
        <w:spacing w:before="0" w:after="0" w:line="360" w:lineRule="auto"/>
        <w:jc w:val="both"/>
      </w:pPr>
      <w:r>
        <w:rPr>
          <w:rFonts w:eastAsia="宋体" w:ascii="宋体" w:hAnsi="宋体"/>
          <w:b w:val="0"/>
          <w:sz w:val="21"/>
        </w:rPr>
      </w:r>
    </w:p>
    <w:p>
      <w:pPr>
        <w:spacing w:before="0" w:after="0" w:line="360" w:lineRule="auto"/>
        <w:ind w:firstLine="420"/>
        <w:jc w:val="both"/>
      </w:pPr>
      <w:r>
        <w:rPr>
          <w:rFonts w:eastAsia="宋体" w:ascii="宋体" w:hAnsi="宋体"/>
          <w:b w:val="0"/>
          <w:sz w:val="21"/>
        </w:rPr>
        <w:t>双均线策略是一个“简单但不简陋”的入门策略。它的简单性是优势——逻辑透明、参数少、不易过拟合；也是局限——信号单一、震荡市失效。对于量化初学者，理解其核心逻辑是构建更复杂策略的基础。没有单一策略能持续盈利，真正的能力在于理解每种工具的适用条件、局限性和改进方向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jc w:val="both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