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摘要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本报告展示三套宽基ETF策略的设计、参数定型、长期回测、测试周表现与模拟盘部署状态。长期结果表明，策略C累计收益71.84%，是三者中唯一取得正超额收益的方案；策略B将最大回撤控制在12.31%，更接近防守型配置；策略A累计收益为-0.66%、最大回撤36.97%，说明简单高仓位择时在震荡和交易摩擦面前缺乏足够保护。综合收益与风险后，策略C作为主要观察对象，策略B作为防守型参照，策略A作为基础对照。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/>
          <w:color w:val="000000"/>
          <w:sz w:val="21"/>
        </w:rPr>
        <w:t>核心判断：</w:t>
      </w:r>
      <w:r>
        <w:rPr>
          <w:rFonts w:ascii="Songti SC" w:hAnsi="Songti SC" w:eastAsia="Songti SC" w:cs="Songti SC"/>
          <w:color w:val="000000"/>
          <w:sz w:val="21"/>
        </w:rPr>
        <w:t>2026年7月20日至24日的五日测试期内，三套策略均保持现金，策略收益与回撤均为0%，同期沪深300上涨2.65%。这一结果显示三套趋势规则在快速上涨窗口中仍保持谨慎，降低了市场波动暴露，也产生了2.58%的相对机会成本。三组模拟盘于7月24日周五完成部署；7月25日为周六、A股休市，截至报告日期尚未产生部署后的运行数据。测试周采用冻结参数和T−1历史信息回放策略决策，属于模拟盘启动前的历史模拟；后续实际模拟净值、持仓和成交将在持续观察页面更新。</w:t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一、成果概览与研究范围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1.1 本次课程实践的核心成果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本次实践形成了一套可以持续比较的三策略组合，评价范围同时覆盖历史收益、风险和市场暴露。三套方案分别代表简单择时、风险约束趋势跟随和跨ETF动量轮动，并在统一资金规模、基准和交易成本下接受检验。报告重点回答三个问题：不同规则带来了怎样的收益与市场暴露，回撤是否与收益相匹配，以及参数冻结后在测试周和模拟观察阶段表现如何。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1.2 聚宽平台的应用范围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现有账号已完成注册并能正常登录，相关权限满足本次研究需要。实践覆盖聚宽的数据调用、策略编辑、历史回测、结果分析和模拟交易功能。长期回测用于评价策略表现，测试周用于观察冻结参数下的实际信号，三组模拟组合则承担后续连续验证。平台文档用于确认数据与交易规则，社区案例为策略C提供了思路；最终的标的范围、调仓频率和风险约束均根据本次研究目标重新设定，策略与组合保持私有。</w:t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二、三套策略代表不同的收益—风险取向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三个策略使用500,000元初始资金，以沪深300作为共同基准。策略A代表简单、直接但高暴露的择时方案；策略B在趋势判断之外增加仓位预算和止损，更强调资金保护；策略C在三只宽基ETF之间选择动量最强者，并在趋势不足时持有现金，目标是在控制仓位的同时争取相对收益。</w:t>
      </w:r>
    </w:p>
    <w:tbl>
      <w:tblPr>
        <w:tblStyle w:val="TableGrid"/>
        <w:tblW w:type="dxa" w:w="852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819"/>
        <w:gridCol w:w="2094"/>
        <w:gridCol w:w="3432"/>
        <w:gridCol w:w="2175"/>
      </w:tblGrid>
      <w:tr>
        <w:trPr>
          <w:tblHeader/>
        </w:trP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策略</w:t>
            </w:r>
          </w:p>
        </w:tc>
        <w:tc>
          <w:tcPr>
            <w:tcW w:type="dxa" w:w="2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核心信号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仓位与风控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组合定位</w:t>
            </w:r>
          </w:p>
        </w:tc>
      </w:tr>
      <w:t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A</w:t>
            </w:r>
          </w:p>
        </w:tc>
        <w:tc>
          <w:tcPr>
            <w:tcW w:type="dxa" w:w="2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510300收盘价高于20日均线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目标100%；无波动率止损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基础对照</w:t>
            </w:r>
          </w:p>
        </w:tc>
      </w:tr>
      <w:t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B</w:t>
            </w:r>
          </w:p>
        </w:tc>
        <w:tc>
          <w:tcPr>
            <w:tcW w:type="dxa" w:w="2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510300的10日均线高于30日均线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风险预算、波动率止损、仓位上限50%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防守型参照</w:t>
            </w:r>
          </w:p>
        </w:tc>
      </w:tr>
      <w:t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C</w:t>
            </w:r>
          </w:p>
        </w:tc>
        <w:tc>
          <w:tcPr>
            <w:tcW w:type="dxa" w:w="2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三只宽基ETF的15日趋势强度排序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每周选择最高正分ETF，仓位50%；弱势时持币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主要观察对象</w:t>
            </w:r>
          </w:p>
        </w:tc>
      </w:tr>
    </w:tbl>
    <w:p>
      <w:pPr>
        <w:spacing w:after="40"/>
      </w:pP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策略C的标的池固定为沪深300ETF、中证500ETF和创业板ETF，覆盖大盘、中盘与成长风格。趋势评分同时考虑上涨速度和路径稳定性，因此短期急涨但走势反复的标的不会自动获得最高权重。周频调仓降低了日度噪声和换手，50%的仓位上限则为组合保留了现金缓冲。</w:t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三、比较口径与结论边界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3.1 时间划分与共同口径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参数选择使用2016—2023年开发样本和2024—2025年验证样本，2026年只用于参数冻结后的观察。JoinQuant长期回测覆盖2019年1月1日至2026年7月17日，7月20日至24日另设五个交易日测试窗口，两段互不重叠。各策略使用相同初始资金、沪深300基准和ETF交易成本，信号以已完成的历史数据为依据，并在下一交易日执行。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3.2 如何理解报告中的两组结果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策略排名与核心结论以JoinQuant回测结果为准；扩展样本分析用于进一步解释仓位、阶段表现和成本敏感性。由于行情复权、成交价格和成本处理可能存在差异，两组结果不要求数值完全一致，但应对收益方向和风险特征给出相互印证。扩展分析只用于解释结果，不用于事后重新选择更有利的参数。</w:t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四、参数定型强调跨阶段稳定性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451"/>
            <wp:docPr id="1" name="Picture 1" descr="图1：策略B均线参数与策略C动量窗口的开发期、验证期累计收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arameter_sensi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图1：策略B均线参数与策略C动量窗口的开发期、验证期累计收益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图1显示，策略B的10/30组合在开发期和验证期分别取得2.00%和2.11%的正收益，是三组均线中跨阶段方向最一致的方案。5/20和20/60在开发期分别亏损4.31%和5.66%，进入验证期后才转正，说明均线信号对市场阶段较敏感。策略C的15日窗口在两阶段分别取得6.11%和36.29%；20日窗口验证期收益略高至36.77%，开发期却为-0.55%；30日窗口开发期达到9.21%，验证期降至8.02%。参数排名随阶段发生变化，单期峰值缺乏稳定性。10/30均线和15日动量窗口保留了较完整的跨阶段正向信号。</w:t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五、长期结果：策略C领先，策略B更稳健</w:t>
      </w:r>
    </w:p>
    <w:tbl>
      <w:tblPr>
        <w:tblStyle w:val="TableGrid"/>
        <w:tblW w:type="dxa" w:w="852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819"/>
        <w:gridCol w:w="1156"/>
        <w:gridCol w:w="1156"/>
        <w:gridCol w:w="1156"/>
        <w:gridCol w:w="1156"/>
        <w:gridCol w:w="819"/>
        <w:gridCol w:w="819"/>
        <w:gridCol w:w="1439"/>
      </w:tblGrid>
      <w:tr>
        <w:trPr>
          <w:tblHeader/>
        </w:trP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策略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累计收益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年化收益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超额收益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最大回撤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夏普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Beta</w:t>
            </w:r>
          </w:p>
        </w:tc>
        <w:tc>
          <w:tcPr>
            <w:tcW w:type="dxa" w:w="14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波动率</w:t>
            </w:r>
          </w:p>
        </w:tc>
      </w:tr>
      <w:t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A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-0.66%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-0.09%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-33.97%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-36.97%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-0.291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0.521</w:t>
            </w:r>
          </w:p>
        </w:tc>
        <w:tc>
          <w:tcPr>
            <w:tcW w:type="dxa" w:w="14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14.10%</w:t>
            </w:r>
          </w:p>
        </w:tc>
      </w:tr>
      <w:t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B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2.91%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0.39%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-31.59%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-12.31%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-0.769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0.164</w:t>
            </w:r>
          </w:p>
        </w:tc>
        <w:tc>
          <w:tcPr>
            <w:tcW w:type="dxa" w:w="14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4.70%</w:t>
            </w:r>
          </w:p>
        </w:tc>
      </w:tr>
      <w:t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C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71.84%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7.69%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14.23%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-16.91%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0.315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0.426</w:t>
            </w:r>
          </w:p>
        </w:tc>
        <w:tc>
          <w:tcPr>
            <w:tcW w:type="dxa" w:w="14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11.70%</w:t>
            </w:r>
          </w:p>
        </w:tc>
      </w:tr>
    </w:tbl>
    <w:p>
      <w:pPr>
        <w:spacing w:after="40"/>
      </w:pP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长期回测表明，策略A的累计收益为-0.66%，最大回撤却达到36.97%，收益与下行风险明显失衡。策略B把最大回撤降至12.31%，Beta降至0.164、波动率降至4.70%，防守特征清晰；其累计收益仅为2.91%，超额收益为-31.59%，说明低波动主要来自克制参与，趋势信号本身没有形成显著收益优势。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策略C累计收益71.84%、年化收益7.69%、最大回撤16.91%，相对沪深300取得14.23%的累计超额，是三者中收益与回撤匹配度最好的方案。其Beta为0.426，说明50%仓位上限有效压低了市场方向暴露；夏普比率0.315和30.37%的相对最大回撤同时表明，超额收益的形成过程仍有较大波动。表中最重要的发现是，策略C的领先同时体现在收益和绝对回撤两个维度，策略B的优势则集中在防守。</w:t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六、收益来源与主要风险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99838"/>
            <wp:docPr id="2" name="Picture 2" descr="图2：扩展样本下三策略与沪深300的净值及回撤（2016—2026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nav_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9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图2：扩展样本下三策略与沪深300的净值及回撤（2016—2026）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图2显示三条策略净值具有明显不同的路径。策略A在2021年后持续走弱，回撤长期处于较深区间，说明简单MA20信号在反复震荡中容易连续承受假突破和交易摩擦。策略B的净值长期围绕初始水平窄幅波动，回撤显著较浅，其稳定性主要来自较低市场参与度。策略C在2016—2023年的领先并不突出，主要增值集中在2024年以后，并在期末超过沪深300。策略C的优势由特定阶段贡献，收益路径存在明显的市场风格依赖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99397"/>
            <wp:docPr id="3" name="Picture 3" descr="图3：开发期、验证期与参数冻结后的2026年样本外累计收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period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9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图3：开发期、验证期与参数冻结后的2026年样本外累计收益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图3进一步定位了收益来源。策略A在开发期亏损34.06%，验证期反弹12.16%，参数冻结后的2026年又下跌6.41%，收益方向反复，缺少稳定信号。策略B在开发期和验证期仅分别上涨2.00%和2.11%，2026年下跌2.61%，呈现低波动、低收益的防守特征。策略C三个阶段分别上涨6.11%、36.29%和7.09%，在每个阶段都领先另外两套策略；其中验证期贡献最大，确认了长期领先对2024—2025年市场环境的依赖。2026年仍为正提供了一项样本外支持，当前样本长度尚不足以消除风格集中风险。</w:t>
      </w:r>
    </w:p>
    <w:tbl>
      <w:tblPr>
        <w:tblStyle w:val="TableGrid"/>
        <w:tblW w:type="dxa" w:w="852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819"/>
        <w:gridCol w:w="1265"/>
        <w:gridCol w:w="1265"/>
        <w:gridCol w:w="819"/>
        <w:gridCol w:w="1265"/>
        <w:gridCol w:w="819"/>
        <w:gridCol w:w="2268"/>
      </w:tblGrid>
      <w:tr>
        <w:trPr>
          <w:tblHeader/>
        </w:trP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策略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累计收益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最大回撤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夏普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平均仓位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Beta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估算成本/元</w:t>
            </w:r>
          </w:p>
        </w:tc>
      </w:tr>
      <w:t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A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-30.38%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-42.91%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-0.21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52.92%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0.46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169,425</w:t>
            </w:r>
          </w:p>
        </w:tc>
      </w:tr>
      <w:t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B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2.16%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-11.82%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0.07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18.95%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0.16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51,644</w:t>
            </w:r>
          </w:p>
        </w:tc>
      </w:tr>
      <w:tr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C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56.93%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-16.72%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0.44</w:t>
            </w:r>
          </w:p>
        </w:tc>
        <w:tc>
          <w:tcPr>
            <w:tcW w:type="dxa" w:w="1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34.07%</w:t>
            </w:r>
          </w:p>
        </w:tc>
        <w:tc>
          <w:tcPr>
            <w:tcW w:type="dxa" w:w="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0.40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122,960</w:t>
            </w:r>
          </w:p>
        </w:tc>
      </w:tr>
    </w:tbl>
    <w:p>
      <w:pPr>
        <w:spacing w:after="40"/>
      </w:pP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仓位和成本数据解释了三套策略的净值差异。策略A平均仓位52.92%，产生451笔订单和约16.94万元估算成本，较高参与度没有转化为正收益。策略B平均仓位仅18.95%，Beta约0.16，低回撤主要来自长期现金缓冲。策略C以34.07%的平均仓位取得56.93%的扩展样本收益，单位市场暴露的收益表现更强；其518笔订单和约12.30万元估算成本也显示轮动信号需要承担较高摩擦。三种策略在持仓时均集中于单一ETF，并可能跨夜持有，跳空和单一标的集中风险依然存在。</w:t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七、成本上升会明显压缩策略收益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85026"/>
            <wp:docPr id="4" name="Picture 4" descr="图4：佣金率与滑点同时翻倍后的全期累计收益变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ost_st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5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图4：佣金率与滑点同时翻倍后的全期累计收益变化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图4显示成本冲击会直接改变策略结论。佣金和滑点同时翻倍后，策略A的累计收益由-30.38%降至-53.61%，减少23.23个百分点；策略B由2.16%降至-9.35%，原有微弱收益被完全吞噬；策略C由56.93%降至25.49%，减少31.44个百分点，降幅超过基础收益的一半。策略C在压力情景下仍保持三者第一，说明其信号具有一定收益缓冲；同时，最大的绝对收益损失揭示轮动换手是其关键风险来源。策略B的结果则表明，接近零的历史优势对交易成本缺乏容错空间。</w:t>
      </w:r>
    </w:p>
    <w:p>
      <w:r>
        <w:br w:type="page"/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八、测试周揭示统一空仓信号，模拟盘尚待首日数据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8.1 冻结规则回放复现了当周可获得的信息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长期回测在2026年7月17日结束，随后使用已经冻结的代码和参数回放7月20日至24日五个交易日。三套策略只读取T−1日及更早的已完成数据，交易指令在下一交易日执行，测试过程中没有使用未来价格或根据结果修改参数。因此，这段回测能够复现策略在当时信息条件下会产生的信号和目标仓位，并为尚未开始运行的模拟盘提供启动前观察。</w:t>
      </w:r>
    </w:p>
    <w:tbl>
      <w:tblPr>
        <w:tblStyle w:val="TableGrid"/>
        <w:tblW w:type="dxa" w:w="852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820"/>
        <w:gridCol w:w="1185"/>
        <w:gridCol w:w="1185"/>
        <w:gridCol w:w="1185"/>
        <w:gridCol w:w="1185"/>
        <w:gridCol w:w="1504"/>
        <w:gridCol w:w="1456"/>
      </w:tblGrid>
      <w:tr>
        <w:trPr>
          <w:tblHeader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策略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策略收益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基准收益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超额收益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最大回撤</w:t>
            </w:r>
          </w:p>
        </w:tc>
        <w:tc>
          <w:tcPr>
            <w:tcW w:type="dxa" w:w="1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盈利/亏损次数</w:t>
            </w:r>
          </w:p>
        </w:tc>
        <w:tc>
          <w:tcPr>
            <w:tcW w:type="dxa" w:w="1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D9D9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17"/>
              </w:rPr>
              <w:t>汇总状态</w:t>
            </w:r>
          </w:p>
        </w:tc>
      </w:tr>
      <w:t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A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0.00%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2.65%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-2.58%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0.00%</w:t>
            </w:r>
          </w:p>
        </w:tc>
        <w:tc>
          <w:tcPr>
            <w:tcW w:type="dxa" w:w="1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0/0</w:t>
            </w:r>
          </w:p>
        </w:tc>
        <w:tc>
          <w:tcPr>
            <w:tcW w:type="dxa" w:w="1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保持现金</w:t>
            </w:r>
          </w:p>
        </w:tc>
      </w:tr>
      <w:t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B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0.00%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2.65%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-2.58%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0.00%</w:t>
            </w:r>
          </w:p>
        </w:tc>
        <w:tc>
          <w:tcPr>
            <w:tcW w:type="dxa" w:w="1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0/0</w:t>
            </w:r>
          </w:p>
        </w:tc>
        <w:tc>
          <w:tcPr>
            <w:tcW w:type="dxa" w:w="1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保持现金</w:t>
            </w:r>
          </w:p>
        </w:tc>
      </w:tr>
      <w:t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C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0.00%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2.65%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-2.58%</w:t>
            </w:r>
          </w:p>
        </w:tc>
        <w:tc>
          <w:tcPr>
            <w:tcW w:type="dxa" w:w="1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0.00%</w:t>
            </w:r>
          </w:p>
        </w:tc>
        <w:tc>
          <w:tcPr>
            <w:tcW w:type="dxa" w:w="1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0/0</w:t>
            </w:r>
          </w:p>
        </w:tc>
        <w:tc>
          <w:tcPr>
            <w:tcW w:type="dxa" w:w="1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Songti SC" w:hAnsi="Songti SC" w:eastAsia="Songti SC" w:cs="Songti SC"/>
                <w:color w:val="000000"/>
                <w:sz w:val="17"/>
              </w:rPr>
              <w:t>保持现金</w:t>
            </w:r>
          </w:p>
        </w:tc>
      </w:tr>
    </w:tbl>
    <w:p>
      <w:pPr>
        <w:spacing w:after="40"/>
      </w:pP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表中最直接的信号是三套策略的净值均保持不变，交易次数均为0，五个交易日全部处于现金状态。策略A的MA20入场条件没有触发；策略B的MA10持续低于MA30；策略C的三只候选ETF动量得分均为负。不同规则在同一窗口给出了统一的风险规避判断，说明当时的中短期趋势强度没有达到预设入场标准。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8.2 空仓规避了波动，也暴露出趋势信号的滞后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沪深300在测试周上涨2.65%，三套策略收益均为0%，平台计算的超额收益均为-2.58%。市场价格已经上涨，滞后趋势指标仍未确认入场，反映出规则对快速反转或短促上涨行情的响应较慢。三套策略由此避开了价格波动、集中持仓和交易成本，也错过了当周上涨；测试周的主要风险表现为机会成本。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0%回撤来自全程空仓，只能说明当周没有市场暴露，尚不能证明止损、仓位上限或轮动机制已经在持仓状态下有效控制风险。零成交也意味着该窗口没有形成可供分析的成交价格、滑点、拒单或部分成交样本。五日结果支持对信号行为和机会成本的判断，对执行质量及长期稳定性仍缺乏证据。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8.3 模拟盘已部署，部署后的实盘模拟尚未开始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三个策略已于2026年7月24日周五分别建立独立JoinQuant模拟盘。7月25日为周六、A股休市，部署后尚未经历新的交易日，因此截至报告日期没有实际模拟订单、成交、持仓或净值变化。这里的“实盘模拟”指平台在真实交易时序下运行虚拟资金，不涉及真实资金。上一周回测复现了可获得信息和策略决策，仍缺少平台实时调度、成交价格与订单状态等执行证据，两类结果在报告中分开记录。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8.4 看板将持续更新实际模拟结果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持续观察页面当前展示历史回测、冻结规则下的行情回放、成本敏感性和模拟盘等待状态。下一交易日起，页面将继续补充三套模拟盘的实际净值、持仓、订单、成交和风险指标，并与历史回测分区展示。这样可以直接识别理论信号与平台实际执行之间的偏差，也能避免把测试周回放误写成部署后的模拟业绩。</w:t>
      </w:r>
    </w:p>
    <w:p>
      <w:pPr>
        <w:spacing w:before="80" w:after="120"/>
        <w:jc w:val="left"/>
      </w:pPr>
      <w:r>
        <w:rPr>
          <w:rFonts w:ascii="Songti SC" w:hAnsi="Songti SC" w:eastAsia="Songti SC" w:cs="Songti SC"/>
          <w:b/>
          <w:color w:val="000000"/>
          <w:sz w:val="21"/>
        </w:rPr>
        <w:t>持续观察页面：</w:t>
      </w:r>
      <w:hyperlink r:id="rId13">
        <w:r>
          <w:rPr>
            <w:color w:val="000000"/>
            <w:u w:val="single"/>
            <w:rFonts w:ascii="Songti SC" w:hAnsi="Songti SC" w:eastAsia="Songti SC"/>
            <w:sz w:val="21"/>
          </w:rPr>
          <w:t>TASK7三策略表现与风险观察</w:t>
        </w:r>
      </w:hyperlink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看板公开内容不包含账户访问方式。实际模拟数据形成后，将按相同日期区间比较三套策略，并保持历史回测、行情回放和平台模拟记录三类数据相互独立。</w:t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九、结论、建议与实践反思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9.1 下一阶段以策略C为主、策略B为风险参照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策略C应作为下一阶段的主要观察对象，因为它在长期回测中取得最高收益和唯一正超额，同时保持中等回撤；策略B应作为防守型参照，用于判断更低仓位是否能在真实成交环境中持续降低波动；策略A不适合作为主要方案，但保留它有助于衡量新增风控与轮动机制究竟创造了多少改进。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后续判断不应只看累计收益。三策略对比需要同时覆盖最大回撤、平均仓位、市场Beta、换手、成本和空仓机会成本。若策略C的收益继续领先但成本和回撤明显放大，应优先降低调仓频率或仓位，避免再次追逐更短参数；若策略B长期保持低回撤但资金使用率过低，则应评估其作为组合防守层的价值，单独评价收益容易低估其风险缓冲作用。</w:t>
      </w:r>
    </w:p>
    <w:p>
      <w:pPr>
        <w:pStyle w:val="Heading2"/>
        <w:keepNext/>
        <w:spacing w:before="160" w:after="8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9.2 本次实践的经验与教训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第一，参数优化应重点考察跨阶段稳定性，单一区间的最高收益仅作参考；开发期与验证期表现方向一致，比某个窗口的峰值更有参考价值。第二，风险控制不会自动提高收益，策略B的低回撤主要来自较低仓位，必须同时评价资金使用效率。第三，测试周没有成交仍然提供了有效信号证据：三套规则在相同信息下保持现金，同时暴露了趋势判断滞后、上涨机会成本和缺少执行样本三项局限。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最重要的教训是，长期回测、短窗口测试和模拟组合回答的是不同问题。长期回测用于识别收益与回撤结构，短窗口用于检查冻结规则在指定日期的行为，模拟组合则用于观察真实交易时序、成交和持续风险。只有保持参数冻结、统一比较区间并持续记录，后续三策略对比才具有解释力。</w:t>
      </w:r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十、资料来源</w:t>
      </w:r>
    </w:p>
    <w:p>
      <w:pPr>
        <w:pStyle w:val="ListBullet"/>
        <w:spacing w:after="20" w:line="264" w:lineRule="auto"/>
      </w:pPr>
      <w:hyperlink r:id="rId14">
        <w:r>
          <w:rPr>
            <w:color w:val="000000"/>
            <w:u w:val="single"/>
            <w:rFonts w:ascii="Songti SC" w:hAnsi="Songti SC" w:eastAsia="Songti SC"/>
            <w:sz w:val="18"/>
          </w:rPr>
          <w:t>JoinQuant新手指南</w:t>
        </w:r>
      </w:hyperlink>
    </w:p>
    <w:p>
      <w:pPr>
        <w:pStyle w:val="ListBullet"/>
        <w:spacing w:after="20" w:line="264" w:lineRule="auto"/>
      </w:pPr>
      <w:hyperlink r:id="rId15">
        <w:r>
          <w:rPr>
            <w:color w:val="000000"/>
            <w:u w:val="single"/>
            <w:rFonts w:ascii="Songti SC" w:hAnsi="Songti SC" w:eastAsia="Songti SC"/>
            <w:sz w:val="18"/>
          </w:rPr>
          <w:t>JoinQuant API文档</w:t>
        </w:r>
      </w:hyperlink>
    </w:p>
    <w:p>
      <w:pPr>
        <w:pStyle w:val="ListBullet"/>
        <w:spacing w:after="20" w:line="264" w:lineRule="auto"/>
      </w:pPr>
      <w:hyperlink r:id="rId16">
        <w:r>
          <w:rPr>
            <w:color w:val="000000"/>
            <w:u w:val="single"/>
            <w:rFonts w:ascii="Songti SC" w:hAnsi="Songti SC" w:eastAsia="Songti SC"/>
            <w:sz w:val="18"/>
          </w:rPr>
          <w:t>JoinQuant技术支持：避免未来数据</w:t>
        </w:r>
      </w:hyperlink>
    </w:p>
    <w:p>
      <w:pPr>
        <w:pStyle w:val="ListBullet"/>
        <w:spacing w:after="20" w:line="264" w:lineRule="auto"/>
      </w:pPr>
      <w:hyperlink r:id="rId17">
        <w:r>
          <w:rPr>
            <w:color w:val="000000"/>
            <w:u w:val="single"/>
            <w:rFonts w:ascii="Songti SC" w:hAnsi="Songti SC" w:eastAsia="Songti SC"/>
            <w:sz w:val="18"/>
          </w:rPr>
          <w:t>聚宽社区：宽基ETF动量轮动钝化RSRS择时</w:t>
        </w:r>
      </w:hyperlink>
    </w:p>
    <w:p>
      <w:pPr>
        <w:pStyle w:val="Heading1"/>
        <w:keepNext/>
        <w:spacing w:before="240" w:after="120"/>
        <w:jc w:val="left"/>
      </w:pPr>
      <w:r>
        <w:rPr>
          <w:rFonts w:ascii="Songti SC" w:hAnsi="Songti SC" w:eastAsia="Songti SC" w:cs="Songti SC"/>
          <w:b/>
          <w:color w:val="000000"/>
          <w:sz w:val="28"/>
        </w:rPr>
        <w:t>附录：聚宽回测凭证</w:t>
      </w:r>
    </w:p>
    <w:p>
      <w:pPr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color w:val="000000"/>
          <w:sz w:val="21"/>
        </w:rPr>
        <w:t>以下六张截图分别对应三套策略的长期回测结果，以及2026年7月20日至24日测试周回测结果。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25780"/>
            <wp:docPr id="5" name="Picture 5" descr="附图1：策略A长期回测完成页（2019-01-01至2026-07-17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5 at 00.17.5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附图1：策略A长期回测完成页（2019-01-01至2026-07-17）</w:t>
      </w:r>
    </w:p>
    <w:p>
      <w:r>
        <w:br w:type="page"/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49458"/>
            <wp:docPr id="6" name="Picture 6" descr="附图2：策略B长期回测完成页（2019-01-01至2026-07-17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5 at 00.16.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附图2：策略B长期回测完成页（2019-01-01至2026-07-17）</w:t>
      </w:r>
    </w:p>
    <w:p>
      <w:r>
        <w:br w:type="page"/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39567"/>
            <wp:docPr id="7" name="Picture 7" descr="附图3：策略C长期回测完成页（2019-01-01至2026-07-17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5 at 00.16.3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9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附图3：策略C长期回测完成页（2019-01-01至2026-07-17）</w:t>
      </w:r>
    </w:p>
    <w:p>
      <w:r>
        <w:br w:type="page"/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45544"/>
            <wp:docPr id="8" name="Picture 8" descr="附图4：策略A测试周回测完成页（2026-07-20至2026-07-24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5 at 00.19.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附图4：策略A测试周回测完成页（2026-07-20至2026-07-24）</w:t>
      </w:r>
    </w:p>
    <w:p>
      <w:r>
        <w:br w:type="page"/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42590"/>
            <wp:docPr id="9" name="Picture 9" descr="附图5：策略B测试周回测完成页（2026-07-20至2026-07-24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5 at 00.19.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附图5：策略B测试周回测完成页（2026-07-20至2026-07-24）</w:t>
      </w:r>
    </w:p>
    <w:p>
      <w:r>
        <w:br w:type="page"/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47419"/>
            <wp:docPr id="10" name="Picture 10" descr="附图6：策略C测试周回测完成页（2026-07-20至2026-07-24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5 at 00.19.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000000"/>
          <w:sz w:val="18"/>
        </w:rPr>
        <w:t>附图6：策略C测试周回测完成页（2026-07-20至2026-07-24）</w:t>
      </w:r>
    </w:p>
    <w:sectPr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ongti SC">
    <w:charset w:val="86"/>
    <w:family w:val="roman"/>
    <w:pitch w:val="variabl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60" w:lineRule="auto"/>
      <w:ind w:left="720" w:hanging="360"/>
      <w:contextualSpacing/>
    </w:pPr>
    <w:rPr>
      <w:rFonts w:ascii="Songti SC" w:hAnsi="Songti SC" w:eastAsia="Song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60" w:lineRule="auto"/>
      <w:ind w:left="720" w:hanging="360"/>
      <w:contextualSpacing/>
    </w:pPr>
    <w:rPr>
      <w:rFonts w:ascii="Songti SC" w:hAnsi="Songti SC" w:eastAsia="Song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rebekahlllimx.github.io/quant-trading-ai/Task7/dashboard/" TargetMode="External"/><Relationship Id="rId14" Type="http://schemas.openxmlformats.org/officeDocument/2006/relationships/hyperlink" Target="https://www.joinquant.com/guide" TargetMode="External"/><Relationship Id="rId15" Type="http://schemas.openxmlformats.org/officeDocument/2006/relationships/hyperlink" Target="https://cdn.joinquant.com/help/img/JoinQuantAPI.pdf" TargetMode="External"/><Relationship Id="rId16" Type="http://schemas.openxmlformats.org/officeDocument/2006/relationships/hyperlink" Target="https://www.joinquant.com/community/post/detailMobile?postId=23804" TargetMode="External"/><Relationship Id="rId17" Type="http://schemas.openxmlformats.org/officeDocument/2006/relationships/hyperlink" Target="https://www.joinquant.com/community/post/detailMobile?postId=37120" TargetMode="Externa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TASK7 三策略研究与模拟跟踪报告</dc:title>
  <dc:subject>JoinQuant三策略表现、风险与持续观察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