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19CAC8" w14:textId="77777777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8"/>
          <w:lang w:eastAsia="zh-CN"/>
        </w:rPr>
        <w:t>任务一：量化交易相较于传统手工操作交易的优势</w:t>
      </w:r>
    </w:p>
    <w:p w14:paraId="5F85219D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量化交易（Quantitative Trading）是指利用计算机程序、数学模型和统计分析工具，自动化地执行交易策略的一种交易方式。相较于传统手工操作交易，量化交易具有以下显著优势：</w:t>
      </w:r>
    </w:p>
    <w:p w14:paraId="11675E67" w14:textId="77777777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4"/>
          <w:lang w:eastAsia="zh-CN"/>
        </w:rPr>
        <w:t>1. 处理更多数据</w:t>
      </w:r>
    </w:p>
    <w:p w14:paraId="459D4B24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传统手工交易受限于人的精力和认知能力，交易员通常只能同时关注少数几个市场或品种。量化交易系统可以借助计算机的强大算力，在毫秒级别内处理海量市场数据——涵盖数百只股票、期货合约、外汇货币对等多市场、多品种的实时行情数据。此外，量化系统还可以融合宏观经济指标、财务报表、新闻舆情、社交媒体情绪等非结构化数据，从而构建更全面、多维度的投资决策依据。这种数据处理的广度和深度，是人工交易难以企及的。</w:t>
      </w:r>
    </w:p>
    <w:p w14:paraId="3E5886FC" w14:textId="77777777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4"/>
          <w:lang w:eastAsia="zh-CN"/>
        </w:rPr>
        <w:t>2. 执行更一致</w:t>
      </w:r>
    </w:p>
    <w:p w14:paraId="653F4264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人类交易者在决策过程中不可避免地受到情绪因素（如恐惧、贪婪、过度自信、损失厌恶等）的影响，导致在实际操作中偏离既定策略。例如，在连续亏损后，交易者可能因恐惧而不敢按信号入场；在盈利丰厚时，又可能因贪婪而忽视止盈纪律。量化交易则将交易规则固化为程序代码，计算机严格执行每一条买卖指令，不受任何情绪干扰。无论在何种市场环境下，量化策略都能保持纪律性和一致性，确保交易行为与策略设计完全吻合。</w:t>
      </w:r>
    </w:p>
    <w:p w14:paraId="46E2F628" w14:textId="77777777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4"/>
          <w:lang w:eastAsia="zh-CN"/>
        </w:rPr>
        <w:t>3. 能历史检验（回测）</w:t>
      </w:r>
    </w:p>
    <w:p w14:paraId="0C0A31BA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量化交易策略在投入实盘之前，可以利用历史数据进行回测（</w:t>
      </w:r>
      <w:proofErr w:type="spellStart"/>
      <w:r>
        <w:rPr>
          <w:lang w:eastAsia="zh-CN"/>
        </w:rPr>
        <w:t>Backtesting</w:t>
      </w:r>
      <w:proofErr w:type="spellEnd"/>
      <w:r>
        <w:rPr>
          <w:lang w:eastAsia="zh-CN"/>
        </w:rPr>
        <w:t>），即在历史行情中模拟策略的运行效果。通过回测，交易者可以评估策略的收益率、最大回撤、夏普比率、胜率、盈亏比等关键绩效指标，验证策略在不同市场环境下的表现。这种「先验证、后执行」的模式，使得量化策略在进入实战前就经过了严格的统计检验，大大降低了策略失效的风险。相比之下，传统手工交易往往只能凭借经验进行主观判断，难以对交易系统的长期表现做出客观、量化的评估。</w:t>
      </w:r>
    </w:p>
    <w:p w14:paraId="7E227433" w14:textId="77777777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4"/>
          <w:lang w:eastAsia="zh-CN"/>
        </w:rPr>
        <w:t>4. 风险规则可写入系统</w:t>
      </w:r>
    </w:p>
    <w:p w14:paraId="0AD0BB3F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风险管理是交易中至关重要的一环。量化交易可以将复杂的风险控制规则直接编码进交易系统：例如单笔交易最大亏损限制、每日最大回撤熔断机制、投资组合层面的风险敞口控制、波动率自适应仓位管理等。一旦市场条件触发预设的风控阈值，系统将自动减仓或停止交易，无需人工干预。这种程序化风控机制反应速度极快，能在市场剧烈波动时第一时间保护资金安全，有效避免了人工风控中可能出现的犹豫、侥幸心理或操作延迟等问题。</w:t>
      </w:r>
    </w:p>
    <w:p w14:paraId="04AC16F7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lastRenderedPageBreak/>
        <w:t>综上所述，量化交易通过数据驱动、纪律执行、历史验证和系统化风控四大核心优势，弥补了传统手工交易在信息处理能力、执行一致性和风险管理效率方面的不足。随着大数据和人工智能技术的发展，量化交易已成为现代金融市场中不可或缺的重要组成部分。</w:t>
      </w:r>
    </w:p>
    <w:p w14:paraId="58F9A240" w14:textId="77777777" w:rsidR="008675A2" w:rsidRDefault="00000000">
      <w:pPr>
        <w:spacing w:before="120" w:after="60"/>
        <w:jc w:val="left"/>
      </w:pPr>
      <w:proofErr w:type="spellStart"/>
      <w:r>
        <w:rPr>
          <w:b/>
          <w:sz w:val="28"/>
        </w:rPr>
        <w:t>任务二：基本概念解释</w:t>
      </w:r>
      <w:proofErr w:type="spellEnd"/>
    </w:p>
    <w:p w14:paraId="7BD244A4" w14:textId="77777777" w:rsidR="008675A2" w:rsidRDefault="00000000">
      <w:pPr>
        <w:spacing w:before="120" w:after="60"/>
        <w:jc w:val="left"/>
      </w:pPr>
      <w:r>
        <w:rPr>
          <w:b/>
          <w:sz w:val="24"/>
        </w:rPr>
        <w:t>1. K线（K-Line / Candlestick）</w:t>
      </w:r>
    </w:p>
    <w:p w14:paraId="4CA04E26" w14:textId="77777777" w:rsidR="008675A2" w:rsidRDefault="00000000">
      <w:pPr>
        <w:ind w:firstLine="420"/>
      </w:pPr>
      <w:r>
        <w:t>K线，又称蜡烛图（Candlestick Chart）或日本线，起源于18世纪日本的大米期货市场，由日本商人本间宗久发明，是目前金融市场中最常用的价格图表形式之一。</w:t>
      </w:r>
    </w:p>
    <w:p w14:paraId="3CE2EA56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一根标准的K线由四个价格要素构成：开盘价（Open）、收盘价（Close）、最高价（High）和最低价（Low）。K线的实体（Real Body）表示开盘价与收盘价之间的价格区间：当收盘价高于开盘价时，实体通常用红色或空心绘制，称为「阳线」，表示价格上涨；当收盘价低于开盘价时，实体通常用绿色或实心绘制，称为「阴线」，表示价格下跌。实体上方的细线称为「上影线」，其顶端代表当日最高价；实体下方的细线称为「下影线」，其底端代表当日最低价。影线长度反映了日内多空博弈的激烈程度——长上影线往往意味着上方抛压沉重，长下影线则说明下方支撑强劲。</w:t>
      </w:r>
    </w:p>
    <w:p w14:paraId="6844B99C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K线图不仅可以展示单一周期的价格信息，更重要的价值在于通过多根K线的组合形态（如锤子线、吞没形态、十字星、启明星、黄昏之星等）来研判市场多空力量对比和潜在的趋势转折。K线分析是技术分析中最基础、最直观的工具之一。常见的K线周期包括日K线、周K线、月K线，以及分钟级别的短期K线（如5分钟、15分钟、60分钟等），不同周期的K线适用于不同交易风格的投资者。</w:t>
      </w:r>
    </w:p>
    <w:p w14:paraId="2F9183BE" w14:textId="77777777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4"/>
          <w:lang w:eastAsia="zh-CN"/>
        </w:rPr>
        <w:t>2. 基本面（Fundamental Analysis）</w:t>
      </w:r>
    </w:p>
    <w:p w14:paraId="7C77E357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基本面分析是一种通过评估经济、行业和公司层面的内在价值来判断证券投资价值的方法论。其核心思想是：每一只证券都有一个「内在价值」，市场价格围绕内在价值波动；当市场价格低于内在价值时，是买入时机；当市场价格高于内在价值时，则是卖出时机。</w:t>
      </w:r>
    </w:p>
    <w:p w14:paraId="1E598036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基本面分析通常涵盖三个层次：（1）宏观经济分析——考察GDP增长率、通货膨胀率、利率水平、货币政策、财政政策、就业数据等宏观经济指标，判断整体经济周期所处的阶段；（2）行业分析——研究行业生命周期、竞争格局、监管政策、技术变革趋势等，评估特定行业的发展前景和投资吸引力；（3）公司分析——深入考察企业的财务报表（资产负债表、利润表、现金流量表），计算市盈率（P/E）、市净率（P/B）、净资产收益率（ROE）、负债率、自由现金流等财务指标，评估公司的盈利能力、成长性、偿债能力和运营效率。</w:t>
      </w:r>
    </w:p>
    <w:p w14:paraId="6A9857FA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基本面分析的代表人物包括价值投资之父本杰明·格雷厄姆（Benjamin Graham）和股神沃伦·巴菲特（Warren Buffett）。基本面分析更适合中长期投资者，其优势在于能够</w:t>
      </w:r>
      <w:r>
        <w:rPr>
          <w:lang w:eastAsia="zh-CN"/>
        </w:rPr>
        <w:lastRenderedPageBreak/>
        <w:t>发现被市场低估的优质资产，但缺点是信息获取和分析过程耗时较长，且市场可能长期偏离基本面判断（即「市场保持非理性的时间可能长于你保持偿债能力的时间」）。</w:t>
      </w:r>
    </w:p>
    <w:p w14:paraId="71741325" w14:textId="77777777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4"/>
          <w:lang w:eastAsia="zh-CN"/>
        </w:rPr>
        <w:t>3. 技术面（Technical Analysis）</w:t>
      </w:r>
    </w:p>
    <w:p w14:paraId="0D0F5FEA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技术分析是一种通过研究市场交易数据（主要是价格和成交量）来预测未来价格走势的分析方法。技术分析建立在三个基本假设之上：（1）市场行为包容消化一切信息——所有影响价格的因素（基本面、政策、心理等）都已反映在价格中；（2）价格以趋势方式演变——价格运动具有惯性，一旦形成趋势，更可能继续而非反转；（3）历史会重演——人性不变，过去有效的价格形态和技术指标在未来仍将发挥作用。</w:t>
      </w:r>
    </w:p>
    <w:p w14:paraId="21DF5606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技术分析的工具和方法非常丰富，主要包括：（1）图表形态分析——识别头肩顶/底、双重顶/底、三角形整理、旗形等经典价格形态；（2）技术指标——包括趋势跟踪指标（如移动平均线MA、MACD）、震荡指标（如RSI相对强弱指数、KDJ随机指标、威廉指标）、成交量指标（如成交量加权平均价VWAP、能量潮OBV）等；（3）道氏理论、波浪理论和江恩理论等经典技术分析理论框架。</w:t>
      </w:r>
    </w:p>
    <w:p w14:paraId="0FF3D8A2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技术分析与基本面分析并非互斥，而是互补的。很多成功的投资者会将两者结合使用：用基本面分析筛选投资标的（决定「买什么」），用技术分析选择入场和出场时机（决定「何时买卖」）。在量化交易领域，技术指标往往被量化为具体的数学模型，成为交易策略的核心信号来源。</w:t>
      </w:r>
    </w:p>
    <w:p w14:paraId="7C9BC3E2" w14:textId="5DE05A00" w:rsidR="008675A2" w:rsidRDefault="00000000" w:rsidP="00BD4B46">
      <w:pPr>
        <w:spacing w:before="120" w:after="60"/>
        <w:jc w:val="left"/>
        <w:rPr>
          <w:lang w:eastAsia="zh-CN"/>
        </w:rPr>
      </w:pPr>
      <w:r>
        <w:rPr>
          <w:b/>
          <w:sz w:val="28"/>
          <w:lang w:eastAsia="zh-CN"/>
        </w:rPr>
        <w:t>任务三：</w:t>
      </w:r>
      <w:proofErr w:type="spellStart"/>
      <w:r>
        <w:rPr>
          <w:b/>
          <w:sz w:val="28"/>
          <w:lang w:eastAsia="zh-CN"/>
        </w:rPr>
        <w:t>Tushare</w:t>
      </w:r>
      <w:proofErr w:type="spellEnd"/>
      <w:r>
        <w:rPr>
          <w:b/>
          <w:sz w:val="28"/>
          <w:lang w:eastAsia="zh-CN"/>
        </w:rPr>
        <w:t xml:space="preserve"> Pro 平台注册及 Python 数据获取实践</w:t>
      </w:r>
      <w:r>
        <w:rPr>
          <w:lang w:eastAsia="zh-CN"/>
        </w:rPr>
        <w:t>。</w:t>
      </w:r>
    </w:p>
    <w:p w14:paraId="7EB6BBD2" w14:textId="575869BD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4"/>
          <w:lang w:eastAsia="zh-CN"/>
        </w:rPr>
        <w:t>3.</w:t>
      </w:r>
      <w:r w:rsidR="00BD4B46">
        <w:rPr>
          <w:rFonts w:hint="eastAsia"/>
          <w:b/>
          <w:sz w:val="24"/>
          <w:lang w:eastAsia="zh-CN"/>
        </w:rPr>
        <w:t>1</w:t>
      </w:r>
      <w:r>
        <w:rPr>
          <w:b/>
          <w:sz w:val="24"/>
          <w:lang w:eastAsia="zh-CN"/>
        </w:rPr>
        <w:t xml:space="preserve"> Python 编程实现</w:t>
      </w:r>
    </w:p>
    <w:p w14:paraId="435057C2" w14:textId="77777777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 xml:space="preserve">以下 Python 程序实现了三个核心功能：（1）通过 </w:t>
      </w:r>
      <w:proofErr w:type="spellStart"/>
      <w:r>
        <w:rPr>
          <w:lang w:eastAsia="zh-CN"/>
        </w:rPr>
        <w:t>Tushare</w:t>
      </w:r>
      <w:proofErr w:type="spellEnd"/>
      <w:r>
        <w:rPr>
          <w:lang w:eastAsia="zh-CN"/>
        </w:rPr>
        <w:t>/</w:t>
      </w:r>
      <w:proofErr w:type="spellStart"/>
      <w:r>
        <w:rPr>
          <w:lang w:eastAsia="zh-CN"/>
        </w:rPr>
        <w:t>AKShare</w:t>
      </w:r>
      <w:proofErr w:type="spellEnd"/>
      <w:r>
        <w:rPr>
          <w:lang w:eastAsia="zh-CN"/>
        </w:rPr>
        <w:t xml:space="preserve"> 接口获取沪深股市中指定股票过去一年每个交易日的交易数据；（2）绘制每日收盘价的曲线图（含20日/60日移动平均线和关键统计指标标注）；（3）将交易数据保存为 CSV 格式文件，以备后续任务使用。</w:t>
      </w:r>
    </w:p>
    <w:p w14:paraId="7C4379AD" w14:textId="77777777" w:rsidR="008675A2" w:rsidRDefault="00000000">
      <w:pPr>
        <w:ind w:firstLine="420"/>
      </w:pPr>
      <w:proofErr w:type="spellStart"/>
      <w:r>
        <w:t>本程序采用双数据源架构设计：优先使用</w:t>
      </w:r>
      <w:proofErr w:type="spellEnd"/>
      <w:r>
        <w:t xml:space="preserve"> </w:t>
      </w:r>
      <w:proofErr w:type="spellStart"/>
      <w:r>
        <w:t>Tushare</w:t>
      </w:r>
      <w:proofErr w:type="spellEnd"/>
      <w:r>
        <w:t xml:space="preserve"> Pro </w:t>
      </w:r>
      <w:proofErr w:type="spellStart"/>
      <w:r>
        <w:t>API（需配置Token</w:t>
      </w:r>
      <w:proofErr w:type="spellEnd"/>
      <w:r>
        <w:t>），当 Tushare 不可用时自动回退到 AKShare（免费、免注册的金融数据接口），确保程序在各种环境下都能正常运行。以下以平安银行（000001）为例：</w:t>
      </w:r>
    </w:p>
    <w:p w14:paraId="439FD7A3" w14:textId="77777777" w:rsidR="008675A2" w:rsidRDefault="00000000">
      <w:pPr>
        <w:shd w:val="clear" w:color="auto" w:fill="F5F5F5"/>
        <w:jc w:val="left"/>
      </w:pPr>
      <w:r>
        <w:rPr>
          <w:rFonts w:ascii="Courier New" w:eastAsia="Courier New" w:hAnsi="Courier New"/>
          <w:sz w:val="18"/>
        </w:rPr>
        <w:t>import tushare as ts</w:t>
      </w:r>
      <w:r>
        <w:rPr>
          <w:rFonts w:ascii="Courier New" w:eastAsia="Courier New" w:hAnsi="Courier New"/>
          <w:sz w:val="18"/>
        </w:rPr>
        <w:br/>
        <w:t>import pandas as pd</w:t>
      </w:r>
      <w:r>
        <w:rPr>
          <w:rFonts w:ascii="Courier New" w:eastAsia="Courier New" w:hAnsi="Courier New"/>
          <w:sz w:val="18"/>
        </w:rPr>
        <w:br/>
        <w:t>import matplotlib.pyplot as plt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br/>
        <w:t># 1. 设置 Token 并获取数据</w:t>
      </w:r>
      <w:r>
        <w:rPr>
          <w:rFonts w:ascii="Courier New" w:eastAsia="Courier New" w:hAnsi="Courier New"/>
          <w:sz w:val="18"/>
        </w:rPr>
        <w:br/>
        <w:t>ts.set_token("YOUR_TOKEN")</w:t>
      </w:r>
      <w:r>
        <w:rPr>
          <w:rFonts w:ascii="Courier New" w:eastAsia="Courier New" w:hAnsi="Courier New"/>
          <w:sz w:val="18"/>
        </w:rPr>
        <w:br/>
        <w:t>pro = ts.pro_api()</w:t>
      </w:r>
      <w:r>
        <w:rPr>
          <w:rFonts w:ascii="Courier New" w:eastAsia="Courier New" w:hAnsi="Courier New"/>
          <w:sz w:val="18"/>
        </w:rPr>
        <w:br/>
        <w:t>df = pro.daily(ts_code="000001.SZ",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lastRenderedPageBreak/>
        <w:t xml:space="preserve">               start_date="20250628",</w:t>
      </w:r>
      <w:r>
        <w:rPr>
          <w:rFonts w:ascii="Courier New" w:eastAsia="Courier New" w:hAnsi="Courier New"/>
          <w:sz w:val="18"/>
        </w:rPr>
        <w:br/>
        <w:t xml:space="preserve">               end_date="20260628")</w:t>
      </w:r>
      <w:r>
        <w:rPr>
          <w:rFonts w:ascii="Courier New" w:eastAsia="Courier New" w:hAnsi="Courier New"/>
          <w:sz w:val="18"/>
        </w:rPr>
        <w:br/>
        <w:t>df = df.sort_values("trade_date")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br/>
        <w:t># 2. 绘制每日收盘价曲线图</w:t>
      </w:r>
      <w:r>
        <w:rPr>
          <w:rFonts w:ascii="Courier New" w:eastAsia="Courier New" w:hAnsi="Courier New"/>
          <w:sz w:val="18"/>
        </w:rPr>
        <w:br/>
        <w:t>plt.figure(figsize=(14, 7))</w:t>
      </w:r>
      <w:r>
        <w:rPr>
          <w:rFonts w:ascii="Courier New" w:eastAsia="Courier New" w:hAnsi="Courier New"/>
          <w:sz w:val="18"/>
        </w:rPr>
        <w:br/>
        <w:t>plt.plot(df["trade_date"], df["close"],</w:t>
      </w:r>
      <w:r>
        <w:rPr>
          <w:rFonts w:ascii="Courier New" w:eastAsia="Courier New" w:hAnsi="Courier New"/>
          <w:sz w:val="18"/>
        </w:rPr>
        <w:br/>
        <w:t xml:space="preserve">         color="#1f77b4", linewidth=1.5,</w:t>
      </w:r>
      <w:r>
        <w:rPr>
          <w:rFonts w:ascii="Courier New" w:eastAsia="Courier New" w:hAnsi="Courier New"/>
          <w:sz w:val="18"/>
        </w:rPr>
        <w:br/>
        <w:t xml:space="preserve">         label="每日收盘价")</w:t>
      </w:r>
      <w:r>
        <w:rPr>
          <w:rFonts w:ascii="Courier New" w:eastAsia="Courier New" w:hAnsi="Courier New"/>
          <w:sz w:val="18"/>
        </w:rPr>
        <w:br/>
        <w:t>plt.title("图1：平安银行（000001）每日收盘价走势图")</w:t>
      </w:r>
      <w:r>
        <w:rPr>
          <w:rFonts w:ascii="Courier New" w:eastAsia="Courier New" w:hAnsi="Courier New"/>
          <w:sz w:val="18"/>
        </w:rPr>
        <w:br/>
        <w:t>plt.xlabel("日期"); plt.ylabel("收盘价（元）")</w:t>
      </w:r>
      <w:r>
        <w:rPr>
          <w:rFonts w:ascii="Courier New" w:eastAsia="Courier New" w:hAnsi="Courier New"/>
          <w:sz w:val="18"/>
        </w:rPr>
        <w:br/>
        <w:t>plt.legend(); plt.grid(True, alpha=0.3)</w:t>
      </w:r>
      <w:r>
        <w:rPr>
          <w:rFonts w:ascii="Courier New" w:eastAsia="Courier New" w:hAnsi="Courier New"/>
          <w:sz w:val="18"/>
        </w:rPr>
        <w:br/>
        <w:t>plt.savefig("close_price.png", dpi=150)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br/>
        <w:t># 3. 保存为 CSV 文件</w:t>
      </w:r>
      <w:r>
        <w:rPr>
          <w:rFonts w:ascii="Courier New" w:eastAsia="Courier New" w:hAnsi="Courier New"/>
          <w:sz w:val="18"/>
        </w:rPr>
        <w:br/>
        <w:t>df.to_csv("stock_daily.csv", index=False,</w:t>
      </w:r>
      <w:r>
        <w:rPr>
          <w:rFonts w:ascii="Courier New" w:eastAsia="Courier New" w:hAnsi="Courier New"/>
          <w:sz w:val="18"/>
        </w:rPr>
        <w:br/>
        <w:t xml:space="preserve">          encoding="utf-8-sig")</w:t>
      </w:r>
      <w:r>
        <w:rPr>
          <w:rFonts w:ascii="Courier New" w:eastAsia="Courier New" w:hAnsi="Courier New"/>
          <w:sz w:val="18"/>
        </w:rPr>
        <w:br/>
        <w:t>print("数据已保存，共", len(df), "条记录")</w:t>
      </w:r>
    </w:p>
    <w:p w14:paraId="6620505E" w14:textId="6C45CBF5" w:rsidR="008675A2" w:rsidRDefault="00000000">
      <w:pPr>
        <w:spacing w:before="120" w:after="60"/>
        <w:jc w:val="left"/>
      </w:pPr>
      <w:r>
        <w:rPr>
          <w:b/>
          <w:sz w:val="24"/>
        </w:rPr>
        <w:t>3.</w:t>
      </w:r>
      <w:r w:rsidR="00B052F8">
        <w:rPr>
          <w:rFonts w:hint="eastAsia"/>
          <w:b/>
          <w:sz w:val="24"/>
          <w:lang w:eastAsia="zh-CN"/>
        </w:rPr>
        <w:t>2</w:t>
      </w:r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数据可视化结果</w:t>
      </w:r>
      <w:proofErr w:type="spellEnd"/>
    </w:p>
    <w:p w14:paraId="00B82348" w14:textId="77777777" w:rsidR="008675A2" w:rsidRDefault="00000000">
      <w:pPr>
        <w:spacing w:after="60" w:line="240" w:lineRule="auto"/>
        <w:jc w:val="center"/>
      </w:pPr>
      <w:r>
        <w:rPr>
          <w:noProof/>
        </w:rPr>
        <w:drawing>
          <wp:inline distT="0" distB="0" distL="0" distR="0" wp14:anchorId="762B522C" wp14:editId="76FC5585">
            <wp:extent cx="5029200" cy="249892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0001_平安银行_close_pric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98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E41AC" w14:textId="77777777" w:rsidR="008675A2" w:rsidRDefault="00000000">
      <w:pPr>
        <w:spacing w:before="60" w:after="120"/>
        <w:jc w:val="center"/>
        <w:rPr>
          <w:lang w:eastAsia="zh-CN"/>
        </w:rPr>
      </w:pPr>
      <w:r>
        <w:rPr>
          <w:b/>
          <w:sz w:val="18"/>
          <w:lang w:eastAsia="zh-CN"/>
        </w:rPr>
        <w:t>图1：平安银行（000001）过去一年每日收盘价走势图（含MA20/MA60均线及统计指标）</w:t>
      </w:r>
    </w:p>
    <w:p w14:paraId="08AA3BE0" w14:textId="71000E05" w:rsidR="008675A2" w:rsidRDefault="00000000" w:rsidP="00286C5D">
      <w:pPr>
        <w:ind w:firstLine="420"/>
        <w:rPr>
          <w:lang w:eastAsia="zh-CN"/>
        </w:rPr>
      </w:pPr>
      <w:r>
        <w:rPr>
          <w:lang w:eastAsia="zh-CN"/>
        </w:rPr>
        <w:t>图1展示了平安银行（000001.SZ）过去一年241个交易日的每日收盘价走势。该股期初收盘价11.47元，期末收盘价10.23元，区间累计涨跌幅为-10.81%。期末价格低于期初价格，整体走势在此区间呈现下跌趋势。20日均线（橙色虚线）和60日均线（绿色虚线）分别反映了该股的短期和中长期趋势——当短期均线上穿长期均线形成「金叉」时，通常被视为看涨信号；反之，短期均线下穿长期均线形成「死叉」时，则是看跌信号。图中右上角统计面板列出了关键指标：区间内最高收盘价12.58元，最低10.09元，均值约</w:t>
      </w:r>
      <w:r>
        <w:rPr>
          <w:lang w:eastAsia="zh-CN"/>
        </w:rPr>
        <w:lastRenderedPageBreak/>
        <w:t>10.86元，标准差1.74元。标准差反映了价格的波动幅度，标准差越大说明股价波动越剧烈。</w:t>
      </w:r>
    </w:p>
    <w:p w14:paraId="05C7C04B" w14:textId="63FD9DE8" w:rsidR="008675A2" w:rsidRDefault="00000000">
      <w:pPr>
        <w:spacing w:before="120" w:after="60"/>
        <w:jc w:val="left"/>
        <w:rPr>
          <w:lang w:eastAsia="zh-CN"/>
        </w:rPr>
      </w:pPr>
      <w:r>
        <w:rPr>
          <w:b/>
          <w:sz w:val="24"/>
          <w:lang w:eastAsia="zh-CN"/>
        </w:rPr>
        <w:t>3.</w:t>
      </w:r>
      <w:r w:rsidR="00A34C95">
        <w:rPr>
          <w:rFonts w:hint="eastAsia"/>
          <w:b/>
          <w:sz w:val="24"/>
          <w:lang w:eastAsia="zh-CN"/>
        </w:rPr>
        <w:t>3</w:t>
      </w:r>
      <w:r>
        <w:rPr>
          <w:b/>
          <w:sz w:val="24"/>
          <w:lang w:eastAsia="zh-CN"/>
        </w:rPr>
        <w:t xml:space="preserve"> 数据保存与后续使用</w:t>
      </w:r>
    </w:p>
    <w:p w14:paraId="0FC01085" w14:textId="0F888099" w:rsidR="008675A2" w:rsidRDefault="00000000" w:rsidP="00B170FB">
      <w:pPr>
        <w:ind w:firstLine="420"/>
        <w:rPr>
          <w:lang w:eastAsia="zh-CN"/>
        </w:rPr>
      </w:pPr>
      <w:r>
        <w:rPr>
          <w:lang w:eastAsia="zh-CN"/>
        </w:rPr>
        <w:t>交易数据已成功保存为 CSV 格式文件</w:t>
      </w:r>
      <w:r w:rsidR="007078D8">
        <w:rPr>
          <w:rFonts w:hint="eastAsia"/>
          <w:lang w:eastAsia="zh-CN"/>
        </w:rPr>
        <w:t>，</w:t>
      </w:r>
      <w:r>
        <w:rPr>
          <w:lang w:eastAsia="zh-CN"/>
        </w:rPr>
        <w:t>该 CSV 文件共包含 241 条有效交易记录（每个交易日一条），每条记录包含股票代码、日期、开盘价、最高价、最低价、收盘价、前收盘价、涨跌额、涨跌幅、成交量、成交额等11个字段。这些数据字段涵盖了价格、成交量和价格变动等核心交易信息，为后续任务中计算技术指标、构建量化策略、进行回测分析等提供了坚实的数据基础。</w:t>
      </w:r>
    </w:p>
    <w:p w14:paraId="564680ED" w14:textId="566FFA33" w:rsidR="008675A2" w:rsidRDefault="00000000">
      <w:pPr>
        <w:ind w:firstLine="420"/>
        <w:rPr>
          <w:lang w:eastAsia="zh-CN"/>
        </w:rPr>
      </w:pPr>
      <w:r>
        <w:rPr>
          <w:lang w:eastAsia="zh-CN"/>
        </w:rPr>
        <w:t>本任务的完整 Python 代码（含单股数据获取、多股对比分析、K线蜡烛图绘制</w:t>
      </w:r>
      <w:r w:rsidR="00421337">
        <w:rPr>
          <w:rFonts w:hint="eastAsia"/>
          <w:lang w:eastAsia="zh-CN"/>
        </w:rPr>
        <w:t>、Flask</w:t>
      </w:r>
      <w:r w:rsidR="00B257EF">
        <w:rPr>
          <w:rFonts w:hint="eastAsia"/>
          <w:lang w:eastAsia="zh-CN"/>
        </w:rPr>
        <w:t>框架动态网页</w:t>
      </w:r>
      <w:r>
        <w:rPr>
          <w:lang w:eastAsia="zh-CN"/>
        </w:rPr>
        <w:t>）与数据看板（独立 HTML，内嵌10只A股+港股OHLC数据，</w:t>
      </w:r>
      <w:proofErr w:type="spellStart"/>
      <w:r>
        <w:rPr>
          <w:lang w:eastAsia="zh-CN"/>
        </w:rPr>
        <w:t>ECharts</w:t>
      </w:r>
      <w:proofErr w:type="spellEnd"/>
      <w:r>
        <w:rPr>
          <w:lang w:eastAsia="zh-CN"/>
        </w:rPr>
        <w:t>渲染，支持缩放、切换股票、导出CSV）均已</w:t>
      </w:r>
      <w:r w:rsidR="00DD6621">
        <w:rPr>
          <w:rFonts w:hint="eastAsia"/>
          <w:lang w:eastAsia="zh-CN"/>
        </w:rPr>
        <w:t>推送</w:t>
      </w:r>
      <w:r>
        <w:rPr>
          <w:lang w:eastAsia="zh-CN"/>
        </w:rPr>
        <w:t>至 GitHub 仓库：https://github.com/RebekahLllimx/ai_quant_course_</w:t>
      </w:r>
      <w:r w:rsidR="006C6AE7">
        <w:rPr>
          <w:lang w:eastAsia="zh-CN"/>
        </w:rPr>
        <w:t>hw</w:t>
      </w:r>
      <w:r>
        <w:rPr>
          <w:lang w:eastAsia="zh-CN"/>
        </w:rPr>
        <w:t>/tree/main/Task1</w:t>
      </w:r>
    </w:p>
    <w:p w14:paraId="69CCF04B" w14:textId="4C72E402" w:rsidR="008675A2" w:rsidRDefault="008675A2">
      <w:pPr>
        <w:ind w:firstLine="420"/>
        <w:rPr>
          <w:lang w:eastAsia="zh-CN"/>
        </w:rPr>
      </w:pPr>
    </w:p>
    <w:sectPr w:rsidR="008675A2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8042643">
    <w:abstractNumId w:val="8"/>
  </w:num>
  <w:num w:numId="2" w16cid:durableId="321548473">
    <w:abstractNumId w:val="6"/>
  </w:num>
  <w:num w:numId="3" w16cid:durableId="1460298059">
    <w:abstractNumId w:val="5"/>
  </w:num>
  <w:num w:numId="4" w16cid:durableId="456145278">
    <w:abstractNumId w:val="4"/>
  </w:num>
  <w:num w:numId="5" w16cid:durableId="586303446">
    <w:abstractNumId w:val="7"/>
  </w:num>
  <w:num w:numId="6" w16cid:durableId="342973814">
    <w:abstractNumId w:val="3"/>
  </w:num>
  <w:num w:numId="7" w16cid:durableId="1028068061">
    <w:abstractNumId w:val="2"/>
  </w:num>
  <w:num w:numId="8" w16cid:durableId="1756366010">
    <w:abstractNumId w:val="1"/>
  </w:num>
  <w:num w:numId="9" w16cid:durableId="25174538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4F33"/>
    <w:rsid w:val="0015074B"/>
    <w:rsid w:val="00231B70"/>
    <w:rsid w:val="00286C5D"/>
    <w:rsid w:val="0029639D"/>
    <w:rsid w:val="00326F90"/>
    <w:rsid w:val="003D0F23"/>
    <w:rsid w:val="00421337"/>
    <w:rsid w:val="00541EF8"/>
    <w:rsid w:val="00572BB9"/>
    <w:rsid w:val="00662F9C"/>
    <w:rsid w:val="006C6AE7"/>
    <w:rsid w:val="007078D8"/>
    <w:rsid w:val="008675A2"/>
    <w:rsid w:val="00927639"/>
    <w:rsid w:val="00A34C95"/>
    <w:rsid w:val="00AA1D8D"/>
    <w:rsid w:val="00B052F8"/>
    <w:rsid w:val="00B170FB"/>
    <w:rsid w:val="00B257EF"/>
    <w:rsid w:val="00B47730"/>
    <w:rsid w:val="00BD48FA"/>
    <w:rsid w:val="00BD4B46"/>
    <w:rsid w:val="00BF3413"/>
    <w:rsid w:val="00CB0664"/>
    <w:rsid w:val="00DD6621"/>
    <w:rsid w:val="00FA26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67A48E"/>
  <w14:defaultImageDpi w14:val="300"/>
  <w15:docId w15:val="{003DDFAC-B497-B34F-A68C-31E5A76D5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jc w:val="both"/>
    </w:pPr>
    <w:rPr>
      <w:rFonts w:ascii="SimSun" w:eastAsia="SimSun" w:hAnsi="SimSun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672</Words>
  <Characters>3832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李沐晓_哲学系</cp:lastModifiedBy>
  <cp:revision>23</cp:revision>
  <dcterms:created xsi:type="dcterms:W3CDTF">2013-12-23T23:15:00Z</dcterms:created>
  <dcterms:modified xsi:type="dcterms:W3CDTF">2026-06-28T13:14:00Z</dcterms:modified>
  <cp:category/>
</cp:coreProperties>
</file>