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360" w:lineRule="auto"/>
        <w:jc w:val="both"/>
      </w:pPr>
      <w:r>
        <w:rPr>
          <w:rFonts w:eastAsia="宋体" w:ascii="宋体" w:hAnsi="宋体"/>
          <w:b/>
          <w:sz w:val="28"/>
        </w:rPr>
        <w:t>一、数据诊断分析</w:t>
      </w:r>
    </w:p>
    <w:p>
      <w:pPr>
        <w:spacing w:before="160" w:after="80" w:line="360" w:lineRule="auto"/>
        <w:jc w:val="both"/>
      </w:pPr>
      <w:r>
        <w:rPr>
          <w:rFonts w:eastAsia="宋体" w:ascii="宋体" w:hAnsi="宋体"/>
          <w:b/>
          <w:sz w:val="24"/>
        </w:rPr>
        <w:t>1.1 数据概况</w:t>
      </w:r>
    </w:p>
    <w:p>
      <w:pPr>
        <w:spacing w:before="0" w:after="0" w:line="360" w:lineRule="auto"/>
        <w:ind w:firstLine="420"/>
        <w:jc w:val="both"/>
      </w:pPr>
      <w:r>
        <w:rPr>
          <w:rFonts w:eastAsia="宋体" w:ascii="宋体" w:hAnsi="宋体"/>
          <w:b w:val="0"/>
          <w:sz w:val="21"/>
        </w:rPr>
        <w:t>本报告以贵州茅台（600519.SH）为主要分析标的，数据来源于AKShare前复权（qfq）日线数据。数据时间范围为2025-05-29至2026-07-03，共计267个交易日，时间跨度约400个自然日。</w:t>
      </w:r>
    </w:p>
    <w:p>
      <w:pPr>
        <w:spacing w:before="160" w:after="80" w:line="360" w:lineRule="auto"/>
        <w:jc w:val="both"/>
      </w:pPr>
      <w:r>
        <w:rPr>
          <w:rFonts w:eastAsia="宋体" w:ascii="宋体" w:hAnsi="宋体"/>
          <w:b/>
          <w:sz w:val="24"/>
        </w:rPr>
        <w:t>1.2 缺失值检查</w:t>
      </w:r>
    </w:p>
    <w:p>
      <w:pPr>
        <w:spacing w:before="0" w:after="0" w:line="360" w:lineRule="auto"/>
        <w:jc w:val="both"/>
      </w:pPr>
      <w:r>
        <w:rPr>
          <w:rFonts w:eastAsia="宋体" w:ascii="宋体" w:hAnsi="宋体"/>
          <w:b w:val="0"/>
          <w:sz w:val="21"/>
        </w:rPr>
        <w:t>对开盘价（Open）、最高价（High）、最低价（Low）、收盘价（Close）、成交量（Volume）五个核心字段进行缺失值检查。检查结果表明，267条记录中不存在缺失值，数据完整性良好。</w:t>
      </w:r>
    </w:p>
    <w:p>
      <w:pPr>
        <w:spacing w:before="160" w:after="80" w:line="360" w:lineRule="auto"/>
        <w:jc w:val="both"/>
      </w:pPr>
      <w:r>
        <w:rPr>
          <w:rFonts w:eastAsia="宋体" w:ascii="宋体" w:hAnsi="宋体"/>
          <w:b/>
          <w:sz w:val="24"/>
        </w:rPr>
        <w:t>1.3 描述性统计分析</w:t>
      </w:r>
    </w:p>
    <w:p>
      <w:pPr>
        <w:spacing w:before="0" w:after="0" w:line="360" w:lineRule="auto"/>
        <w:ind w:firstLine="420"/>
        <w:jc w:val="both"/>
      </w:pPr>
      <w:r>
        <w:rPr>
          <w:rFonts w:eastAsia="宋体" w:ascii="宋体" w:hAnsi="宋体"/>
          <w:b w:val="0"/>
          <w:sz w:val="21"/>
        </w:rPr>
        <w:t>收盘价的描述性统计如表1所示。贵州茅台在过去一年间（约400个自然日、267个交易日）的收盘价均值为1373.06元，标准差为64.29元。价格区间为[1168.63, 1526.98]元。</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D9D9D9"/>
          </w:tcPr>
          <w:p>
            <w:pPr>
              <w:jc w:val="center"/>
            </w:pPr>
            <w:r/>
            <w:r>
              <w:rPr>
                <w:rFonts w:eastAsia="宋体" w:ascii="宋体" w:hAnsi="宋体"/>
                <w:b/>
                <w:sz w:val="18"/>
              </w:rPr>
              <w:t>统计量</w:t>
            </w:r>
          </w:p>
        </w:tc>
        <w:tc>
          <w:tcPr>
            <w:tcW w:type="dxa" w:w="2878"/>
            <w:shd w:fill="D9D9D9"/>
          </w:tcPr>
          <w:p>
            <w:pPr>
              <w:jc w:val="center"/>
            </w:pPr>
            <w:r/>
            <w:r>
              <w:rPr>
                <w:rFonts w:eastAsia="宋体" w:ascii="宋体" w:hAnsi="宋体"/>
                <w:b/>
                <w:sz w:val="18"/>
              </w:rPr>
              <w:t>数值</w:t>
            </w:r>
          </w:p>
        </w:tc>
        <w:tc>
          <w:tcPr>
            <w:tcW w:type="dxa" w:w="2878"/>
            <w:shd w:fill="D9D9D9"/>
          </w:tcPr>
          <w:p>
            <w:pPr>
              <w:jc w:val="center"/>
            </w:pPr>
            <w:r/>
            <w:r>
              <w:rPr>
                <w:rFonts w:eastAsia="宋体" w:ascii="宋体" w:hAnsi="宋体"/>
                <w:b/>
                <w:sz w:val="18"/>
              </w:rPr>
              <w:t>含义</w:t>
            </w:r>
          </w:p>
        </w:tc>
      </w:tr>
      <w:tr>
        <w:tc>
          <w:tcPr>
            <w:tcW w:type="dxa" w:w="2878"/>
          </w:tcPr>
          <w:p>
            <w:pPr>
              <w:jc w:val="center"/>
            </w:pPr>
            <w:r/>
            <w:r>
              <w:rPr>
                <w:rFonts w:eastAsia="宋体" w:ascii="宋体" w:hAnsi="宋体"/>
                <w:sz w:val="18"/>
              </w:rPr>
              <w:t>均值 (Mean)</w:t>
            </w:r>
          </w:p>
        </w:tc>
        <w:tc>
          <w:tcPr>
            <w:tcW w:type="dxa" w:w="2878"/>
          </w:tcPr>
          <w:p>
            <w:pPr>
              <w:jc w:val="center"/>
            </w:pPr>
            <w:r/>
            <w:r>
              <w:rPr>
                <w:rFonts w:eastAsia="宋体" w:ascii="宋体" w:hAnsi="宋体"/>
                <w:sz w:val="18"/>
              </w:rPr>
              <w:t>1373.06 元</w:t>
            </w:r>
          </w:p>
        </w:tc>
        <w:tc>
          <w:tcPr>
            <w:tcW w:type="dxa" w:w="2878"/>
          </w:tcPr>
          <w:p>
            <w:pPr>
              <w:jc w:val="center"/>
            </w:pPr>
            <w:r/>
            <w:r>
              <w:rPr>
                <w:rFonts w:eastAsia="宋体" w:ascii="宋体" w:hAnsi="宋体"/>
                <w:sz w:val="18"/>
              </w:rPr>
              <w:t>过去267个交易日收盘价的算术平均值</w:t>
            </w:r>
          </w:p>
        </w:tc>
      </w:tr>
      <w:tr>
        <w:tc>
          <w:tcPr>
            <w:tcW w:type="dxa" w:w="2878"/>
          </w:tcPr>
          <w:p>
            <w:pPr>
              <w:jc w:val="center"/>
            </w:pPr>
            <w:r/>
            <w:r>
              <w:rPr>
                <w:rFonts w:eastAsia="宋体" w:ascii="宋体" w:hAnsi="宋体"/>
                <w:sz w:val="18"/>
              </w:rPr>
              <w:t>标准差 (Std)</w:t>
            </w:r>
          </w:p>
        </w:tc>
        <w:tc>
          <w:tcPr>
            <w:tcW w:type="dxa" w:w="2878"/>
          </w:tcPr>
          <w:p>
            <w:pPr>
              <w:jc w:val="center"/>
            </w:pPr>
            <w:r/>
            <w:r>
              <w:rPr>
                <w:rFonts w:eastAsia="宋体" w:ascii="宋体" w:hAnsi="宋体"/>
                <w:sz w:val="18"/>
              </w:rPr>
              <w:t>64.29 元</w:t>
            </w:r>
          </w:p>
        </w:tc>
        <w:tc>
          <w:tcPr>
            <w:tcW w:type="dxa" w:w="2878"/>
          </w:tcPr>
          <w:p>
            <w:pPr>
              <w:jc w:val="center"/>
            </w:pPr>
            <w:r/>
            <w:r>
              <w:rPr>
                <w:rFonts w:eastAsia="宋体" w:ascii="宋体" w:hAnsi="宋体"/>
                <w:sz w:val="18"/>
              </w:rPr>
              <w:t>每日收盘价偏离均值的程度</w:t>
            </w:r>
          </w:p>
        </w:tc>
      </w:tr>
      <w:tr>
        <w:tc>
          <w:tcPr>
            <w:tcW w:type="dxa" w:w="2878"/>
          </w:tcPr>
          <w:p>
            <w:pPr>
              <w:jc w:val="center"/>
            </w:pPr>
            <w:r/>
            <w:r>
              <w:rPr>
                <w:rFonts w:eastAsia="宋体" w:ascii="宋体" w:hAnsi="宋体"/>
                <w:sz w:val="18"/>
              </w:rPr>
              <w:t>最小值 (Min)</w:t>
            </w:r>
          </w:p>
        </w:tc>
        <w:tc>
          <w:tcPr>
            <w:tcW w:type="dxa" w:w="2878"/>
          </w:tcPr>
          <w:p>
            <w:pPr>
              <w:jc w:val="center"/>
            </w:pPr>
            <w:r/>
            <w:r>
              <w:rPr>
                <w:rFonts w:eastAsia="宋体" w:ascii="宋体" w:hAnsi="宋体"/>
                <w:sz w:val="18"/>
              </w:rPr>
              <w:t>1168.63 元</w:t>
            </w:r>
          </w:p>
        </w:tc>
        <w:tc>
          <w:tcPr>
            <w:tcW w:type="dxa" w:w="2878"/>
          </w:tcPr>
          <w:p>
            <w:pPr>
              <w:jc w:val="center"/>
            </w:pPr>
            <w:r/>
            <w:r>
              <w:rPr>
                <w:rFonts w:eastAsia="宋体" w:ascii="宋体" w:hAnsi="宋体"/>
                <w:sz w:val="18"/>
              </w:rPr>
              <w:t>区间内最低收盘价</w:t>
            </w:r>
          </w:p>
        </w:tc>
      </w:tr>
      <w:tr>
        <w:tc>
          <w:tcPr>
            <w:tcW w:type="dxa" w:w="2878"/>
          </w:tcPr>
          <w:p>
            <w:pPr>
              <w:jc w:val="center"/>
            </w:pPr>
            <w:r/>
            <w:r>
              <w:rPr>
                <w:rFonts w:eastAsia="宋体" w:ascii="宋体" w:hAnsi="宋体"/>
                <w:sz w:val="18"/>
              </w:rPr>
              <w:t>最大值 (Max)</w:t>
            </w:r>
          </w:p>
        </w:tc>
        <w:tc>
          <w:tcPr>
            <w:tcW w:type="dxa" w:w="2878"/>
          </w:tcPr>
          <w:p>
            <w:pPr>
              <w:jc w:val="center"/>
            </w:pPr>
            <w:r/>
            <w:r>
              <w:rPr>
                <w:rFonts w:eastAsia="宋体" w:ascii="宋体" w:hAnsi="宋体"/>
                <w:sz w:val="18"/>
              </w:rPr>
              <w:t>1526.98 元</w:t>
            </w:r>
          </w:p>
        </w:tc>
        <w:tc>
          <w:tcPr>
            <w:tcW w:type="dxa" w:w="2878"/>
          </w:tcPr>
          <w:p>
            <w:pPr>
              <w:jc w:val="center"/>
            </w:pPr>
            <w:r/>
            <w:r>
              <w:rPr>
                <w:rFonts w:eastAsia="宋体" w:ascii="宋体" w:hAnsi="宋体"/>
                <w:sz w:val="18"/>
              </w:rPr>
              <w:t>区间内最高收盘价</w:t>
            </w:r>
          </w:p>
        </w:tc>
      </w:tr>
      <w:tr>
        <w:tc>
          <w:tcPr>
            <w:tcW w:type="dxa" w:w="2878"/>
          </w:tcPr>
          <w:p>
            <w:pPr>
              <w:jc w:val="center"/>
            </w:pPr>
            <w:r/>
            <w:r>
              <w:rPr>
                <w:rFonts w:eastAsia="宋体" w:ascii="宋体" w:hAnsi="宋体"/>
                <w:sz w:val="18"/>
              </w:rPr>
              <w:t>偏度 (Skewness)</w:t>
            </w:r>
          </w:p>
        </w:tc>
        <w:tc>
          <w:tcPr>
            <w:tcW w:type="dxa" w:w="2878"/>
          </w:tcPr>
          <w:p>
            <w:pPr>
              <w:jc w:val="center"/>
            </w:pPr>
            <w:r/>
            <w:r>
              <w:rPr>
                <w:rFonts w:eastAsia="宋体" w:ascii="宋体" w:hAnsi="宋体"/>
                <w:sz w:val="18"/>
              </w:rPr>
              <w:t>-1.1395</w:t>
            </w:r>
          </w:p>
        </w:tc>
        <w:tc>
          <w:tcPr>
            <w:tcW w:type="dxa" w:w="2878"/>
          </w:tcPr>
          <w:p>
            <w:pPr>
              <w:jc w:val="center"/>
            </w:pPr>
            <w:r/>
            <w:r>
              <w:rPr>
                <w:rFonts w:eastAsia="宋体" w:ascii="宋体" w:hAnsi="宋体"/>
                <w:sz w:val="18"/>
              </w:rPr>
              <w:t>左偏（负偏），左侧尾部更长</w:t>
            </w:r>
          </w:p>
        </w:tc>
      </w:tr>
      <w:tr>
        <w:tc>
          <w:tcPr>
            <w:tcW w:type="dxa" w:w="2878"/>
          </w:tcPr>
          <w:p>
            <w:pPr>
              <w:jc w:val="center"/>
            </w:pPr>
            <w:r/>
            <w:r>
              <w:rPr>
                <w:rFonts w:eastAsia="宋体" w:ascii="宋体" w:hAnsi="宋体"/>
                <w:sz w:val="18"/>
              </w:rPr>
              <w:t>峰度 (Kurtosis)</w:t>
            </w:r>
          </w:p>
        </w:tc>
        <w:tc>
          <w:tcPr>
            <w:tcW w:type="dxa" w:w="2878"/>
          </w:tcPr>
          <w:p>
            <w:pPr>
              <w:jc w:val="center"/>
            </w:pPr>
            <w:r/>
            <w:r>
              <w:rPr>
                <w:rFonts w:eastAsia="宋体" w:ascii="宋体" w:hAnsi="宋体"/>
                <w:sz w:val="18"/>
              </w:rPr>
              <w:t>1.5065</w:t>
            </w:r>
          </w:p>
        </w:tc>
        <w:tc>
          <w:tcPr>
            <w:tcW w:type="dxa" w:w="2878"/>
          </w:tcPr>
          <w:p>
            <w:pPr>
              <w:jc w:val="center"/>
            </w:pPr>
            <w:r/>
            <w:r>
              <w:rPr>
                <w:rFonts w:eastAsia="宋体" w:ascii="宋体" w:hAnsi="宋体"/>
                <w:sz w:val="18"/>
              </w:rPr>
              <w:t>大于0表示分布比正态分布更尖峭，具有"尖峰厚尾"特征</w:t>
            </w:r>
          </w:p>
        </w:tc>
      </w:tr>
    </w:tbl>
    <w:p/>
    <w:p>
      <w:pPr>
        <w:spacing w:before="0" w:after="0" w:line="360" w:lineRule="auto"/>
        <w:ind w:firstLine="420"/>
        <w:jc w:val="both"/>
      </w:pPr>
      <w:r>
        <w:rPr>
          <w:rFonts w:eastAsia="宋体" w:ascii="宋体" w:hAnsi="宋体"/>
          <w:b w:val="0"/>
          <w:sz w:val="21"/>
        </w:rPr>
        <w:t>日收益率统计如表2所示。日均收益率为-0.0675%，日波动率为1.2819%，年化波动率为20.35%（基于252个交易日年化）。最大回撤为-23.47%。</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D9D9D9"/>
          </w:tcPr>
          <w:p>
            <w:pPr>
              <w:jc w:val="center"/>
            </w:pPr>
            <w:r/>
            <w:r>
              <w:rPr>
                <w:rFonts w:eastAsia="宋体" w:ascii="宋体" w:hAnsi="宋体"/>
                <w:b/>
                <w:sz w:val="18"/>
              </w:rPr>
              <w:t>指标</w:t>
            </w:r>
          </w:p>
        </w:tc>
        <w:tc>
          <w:tcPr>
            <w:tcW w:type="dxa" w:w="2878"/>
            <w:shd w:fill="D9D9D9"/>
          </w:tcPr>
          <w:p>
            <w:pPr>
              <w:jc w:val="center"/>
            </w:pPr>
            <w:r/>
            <w:r>
              <w:rPr>
                <w:rFonts w:eastAsia="宋体" w:ascii="宋体" w:hAnsi="宋体"/>
                <w:b/>
                <w:sz w:val="18"/>
              </w:rPr>
              <w:t>数值</w:t>
            </w:r>
          </w:p>
        </w:tc>
        <w:tc>
          <w:tcPr>
            <w:tcW w:type="dxa" w:w="2878"/>
            <w:shd w:fill="D9D9D9"/>
          </w:tcPr>
          <w:p>
            <w:pPr>
              <w:jc w:val="center"/>
            </w:pPr>
            <w:r/>
            <w:r>
              <w:rPr>
                <w:rFonts w:eastAsia="宋体" w:ascii="宋体" w:hAnsi="宋体"/>
                <w:b/>
                <w:sz w:val="18"/>
              </w:rPr>
              <w:t>说明</w:t>
            </w:r>
          </w:p>
        </w:tc>
      </w:tr>
      <w:tr>
        <w:tc>
          <w:tcPr>
            <w:tcW w:type="dxa" w:w="2878"/>
          </w:tcPr>
          <w:p>
            <w:pPr>
              <w:jc w:val="center"/>
            </w:pPr>
            <w:r/>
            <w:r>
              <w:rPr>
                <w:rFonts w:eastAsia="宋体" w:ascii="宋体" w:hAnsi="宋体"/>
                <w:sz w:val="18"/>
              </w:rPr>
              <w:t>日均收益率</w:t>
            </w:r>
          </w:p>
        </w:tc>
        <w:tc>
          <w:tcPr>
            <w:tcW w:type="dxa" w:w="2878"/>
          </w:tcPr>
          <w:p>
            <w:pPr>
              <w:jc w:val="center"/>
            </w:pPr>
            <w:r/>
            <w:r>
              <w:rPr>
                <w:rFonts w:eastAsia="宋体" w:ascii="宋体" w:hAnsi="宋体"/>
                <w:sz w:val="18"/>
              </w:rPr>
              <w:t>-0.0675%</w:t>
            </w:r>
          </w:p>
        </w:tc>
        <w:tc>
          <w:tcPr>
            <w:tcW w:type="dxa" w:w="2878"/>
          </w:tcPr>
          <w:p>
            <w:pPr>
              <w:jc w:val="center"/>
            </w:pPr>
            <w:r/>
            <w:r>
              <w:rPr>
                <w:rFonts w:eastAsia="宋体" w:ascii="宋体" w:hAnsi="宋体"/>
                <w:sz w:val="18"/>
              </w:rPr>
              <w:t>日收益率的算术平均值</w:t>
            </w:r>
          </w:p>
        </w:tc>
      </w:tr>
      <w:tr>
        <w:tc>
          <w:tcPr>
            <w:tcW w:type="dxa" w:w="2878"/>
          </w:tcPr>
          <w:p>
            <w:pPr>
              <w:jc w:val="center"/>
            </w:pPr>
            <w:r/>
            <w:r>
              <w:rPr>
                <w:rFonts w:eastAsia="宋体" w:ascii="宋体" w:hAnsi="宋体"/>
                <w:sz w:val="18"/>
              </w:rPr>
              <w:t>日波动率</w:t>
            </w:r>
          </w:p>
        </w:tc>
        <w:tc>
          <w:tcPr>
            <w:tcW w:type="dxa" w:w="2878"/>
          </w:tcPr>
          <w:p>
            <w:pPr>
              <w:jc w:val="center"/>
            </w:pPr>
            <w:r/>
            <w:r>
              <w:rPr>
                <w:rFonts w:eastAsia="宋体" w:ascii="宋体" w:hAnsi="宋体"/>
                <w:sz w:val="18"/>
              </w:rPr>
              <w:t>1.2819%</w:t>
            </w:r>
          </w:p>
        </w:tc>
        <w:tc>
          <w:tcPr>
            <w:tcW w:type="dxa" w:w="2878"/>
          </w:tcPr>
          <w:p>
            <w:pPr>
              <w:jc w:val="center"/>
            </w:pPr>
            <w:r/>
            <w:r>
              <w:rPr>
                <w:rFonts w:eastAsia="宋体" w:ascii="宋体" w:hAnsi="宋体"/>
                <w:sz w:val="18"/>
              </w:rPr>
              <w:t>日收益率的标准差</w:t>
            </w:r>
          </w:p>
        </w:tc>
      </w:tr>
      <w:tr>
        <w:tc>
          <w:tcPr>
            <w:tcW w:type="dxa" w:w="2878"/>
          </w:tcPr>
          <w:p>
            <w:pPr>
              <w:jc w:val="center"/>
            </w:pPr>
            <w:r/>
            <w:r>
              <w:rPr>
                <w:rFonts w:eastAsia="宋体" w:ascii="宋体" w:hAnsi="宋体"/>
                <w:sz w:val="18"/>
              </w:rPr>
              <w:t>年化波动率</w:t>
            </w:r>
          </w:p>
        </w:tc>
        <w:tc>
          <w:tcPr>
            <w:tcW w:type="dxa" w:w="2878"/>
          </w:tcPr>
          <w:p>
            <w:pPr>
              <w:jc w:val="center"/>
            </w:pPr>
            <w:r/>
            <w:r>
              <w:rPr>
                <w:rFonts w:eastAsia="宋体" w:ascii="宋体" w:hAnsi="宋体"/>
                <w:sz w:val="18"/>
              </w:rPr>
              <w:t>20.35%</w:t>
            </w:r>
          </w:p>
        </w:tc>
        <w:tc>
          <w:tcPr>
            <w:tcW w:type="dxa" w:w="2878"/>
          </w:tcPr>
          <w:p>
            <w:pPr>
              <w:jc w:val="center"/>
            </w:pPr>
            <w:r/>
            <w:r>
              <w:rPr>
                <w:rFonts w:eastAsia="宋体" w:ascii="宋体" w:hAnsi="宋体"/>
                <w:sz w:val="18"/>
              </w:rPr>
              <w:t>日波动率 × √252</w:t>
            </w:r>
          </w:p>
        </w:tc>
      </w:tr>
      <w:tr>
        <w:tc>
          <w:tcPr>
            <w:tcW w:type="dxa" w:w="2878"/>
          </w:tcPr>
          <w:p>
            <w:pPr>
              <w:jc w:val="center"/>
            </w:pPr>
            <w:r/>
            <w:r>
              <w:rPr>
                <w:rFonts w:eastAsia="宋体" w:ascii="宋体" w:hAnsi="宋体"/>
                <w:sz w:val="18"/>
              </w:rPr>
              <w:t>最大回撤</w:t>
            </w:r>
          </w:p>
        </w:tc>
        <w:tc>
          <w:tcPr>
            <w:tcW w:type="dxa" w:w="2878"/>
          </w:tcPr>
          <w:p>
            <w:pPr>
              <w:jc w:val="center"/>
            </w:pPr>
            <w:r/>
            <w:r>
              <w:rPr>
                <w:rFonts w:eastAsia="宋体" w:ascii="宋体" w:hAnsi="宋体"/>
                <w:sz w:val="18"/>
              </w:rPr>
              <w:t>-23.47%</w:t>
            </w:r>
          </w:p>
        </w:tc>
        <w:tc>
          <w:tcPr>
            <w:tcW w:type="dxa" w:w="2878"/>
          </w:tcPr>
          <w:p>
            <w:pPr>
              <w:jc w:val="center"/>
            </w:pPr>
            <w:r/>
            <w:r>
              <w:rPr>
                <w:rFonts w:eastAsia="宋体" w:ascii="宋体" w:hAnsi="宋体"/>
                <w:sz w:val="18"/>
              </w:rPr>
              <w:t>区间内从最高点到后续最低点的最大跌幅</w:t>
            </w:r>
          </w:p>
        </w:tc>
      </w:tr>
      <w:tr>
        <w:tc>
          <w:tcPr>
            <w:tcW w:type="dxa" w:w="2878"/>
          </w:tcPr>
          <w:p>
            <w:pPr>
              <w:jc w:val="center"/>
            </w:pPr>
            <w:r/>
            <w:r>
              <w:rPr>
                <w:rFonts w:eastAsia="宋体" w:ascii="宋体" w:hAnsi="宋体"/>
                <w:sz w:val="18"/>
              </w:rPr>
              <w:t>异常值数量(3σ)</w:t>
            </w:r>
          </w:p>
        </w:tc>
        <w:tc>
          <w:tcPr>
            <w:tcW w:type="dxa" w:w="2878"/>
          </w:tcPr>
          <w:p>
            <w:pPr>
              <w:jc w:val="center"/>
            </w:pPr>
            <w:r/>
            <w:r>
              <w:rPr>
                <w:rFonts w:eastAsia="宋体" w:ascii="宋体" w:hAnsi="宋体"/>
                <w:sz w:val="18"/>
              </w:rPr>
              <w:t>2</w:t>
            </w:r>
          </w:p>
        </w:tc>
        <w:tc>
          <w:tcPr>
            <w:tcW w:type="dxa" w:w="2878"/>
          </w:tcPr>
          <w:p>
            <w:pPr>
              <w:jc w:val="center"/>
            </w:pPr>
            <w:r/>
            <w:r>
              <w:rPr>
                <w:rFonts w:eastAsia="宋体" w:ascii="宋体" w:hAnsi="宋体"/>
                <w:sz w:val="18"/>
              </w:rPr>
              <w:t>收盘价超出均值±3倍标准差的天数</w:t>
            </w:r>
          </w:p>
        </w:tc>
      </w:tr>
    </w:tbl>
    <w:p/>
    <w:p>
      <w:pPr>
        <w:spacing w:before="160" w:after="80" w:line="360" w:lineRule="auto"/>
        <w:jc w:val="both"/>
      </w:pPr>
      <w:r>
        <w:rPr>
          <w:rFonts w:eastAsia="宋体" w:ascii="宋体" w:hAnsi="宋体"/>
          <w:b/>
          <w:sz w:val="24"/>
        </w:rPr>
        <w:t>1.4 收益率分布与正态性检验</w:t>
      </w:r>
    </w:p>
    <w:p>
      <w:pPr>
        <w:spacing w:before="0" w:after="0" w:line="360" w:lineRule="auto"/>
        <w:ind w:firstLine="420"/>
        <w:jc w:val="both"/>
      </w:pPr>
      <w:r>
        <w:rPr>
          <w:rFonts w:eastAsia="宋体" w:ascii="宋体" w:hAnsi="宋体"/>
          <w:b w:val="0"/>
          <w:sz w:val="21"/>
        </w:rPr>
        <w:t>Jarque-Bera正态性检验结果为：JB统计量 = 948.0943，p值 = 0.000000。p值远小于显著性水平0.05，拒绝收益率服从正态分布的原假设。结合偏度（-1.1395）和峰度（1.5065）的数值，贵州茅台的日收益率分布呈现"左偏、尖峰厚尾"的特征，与多数金融时间序列的典型特征一致。这一发现提示：基于正态分布假设的风险度量（如VaR）可能低估极端风险。</w:t>
      </w:r>
    </w:p>
    <w:p>
      <w:r>
        <w:br w:type="page"/>
      </w:r>
    </w:p>
    <w:p>
      <w:pPr>
        <w:spacing w:before="240" w:after="120" w:line="360" w:lineRule="auto"/>
        <w:jc w:val="both"/>
      </w:pPr>
      <w:r>
        <w:rPr>
          <w:rFonts w:eastAsia="宋体" w:ascii="宋体" w:hAnsi="宋体"/>
          <w:b/>
          <w:sz w:val="28"/>
        </w:rPr>
        <w:t>二、技术指标分析</w:t>
      </w:r>
    </w:p>
    <w:p>
      <w:pPr>
        <w:spacing w:before="0" w:after="0" w:line="360" w:lineRule="auto"/>
        <w:ind w:firstLine="420"/>
        <w:jc w:val="both"/>
      </w:pPr>
      <w:r>
        <w:rPr>
          <w:rFonts w:eastAsia="宋体" w:ascii="宋体" w:hAnsi="宋体"/>
          <w:b w:val="0"/>
          <w:sz w:val="21"/>
        </w:rPr>
        <w:t>本章对八个技术指标逐一进行分析。每个指标的论述包括四个部分：（1）历史演化——指标的发明背景、原始动机和后续发展；（2）计算公式——精确的数学定义；（3）参数讨论——参数的来源和不同取值的影响；（4）信号含义——指标读数所传达的市场信息。分析标的为贵州茅台（600519.SH），图表基于2025年5月至2026年7月的日线数据（前复权）绘制。</w:t>
      </w:r>
    </w:p>
    <w:p>
      <w:pPr>
        <w:spacing w:before="160" w:after="80" w:line="360" w:lineRule="auto"/>
        <w:jc w:val="both"/>
      </w:pPr>
      <w:r>
        <w:rPr>
          <w:rFonts w:eastAsia="宋体" w:ascii="宋体" w:hAnsi="宋体"/>
          <w:b/>
          <w:sz w:val="24"/>
        </w:rPr>
        <w:t>2.1 相对强弱指数（RSI）</w:t>
      </w:r>
    </w:p>
    <w:p>
      <w:pPr>
        <w:spacing w:before="160" w:after="80" w:line="360" w:lineRule="auto"/>
        <w:jc w:val="both"/>
      </w:pPr>
      <w:r>
        <w:rPr>
          <w:rFonts w:eastAsia="宋体" w:ascii="宋体" w:hAnsi="宋体"/>
          <w:b/>
          <w:sz w:val="24"/>
        </w:rPr>
        <w:t>2.1.1 历史演化</w:t>
      </w:r>
    </w:p>
    <w:p>
      <w:pPr>
        <w:spacing w:before="0" w:after="0" w:line="360" w:lineRule="auto"/>
        <w:ind w:firstLine="420"/>
        <w:jc w:val="both"/>
      </w:pPr>
      <w:r>
        <w:rPr>
          <w:rFonts w:eastAsia="宋体" w:ascii="宋体" w:hAnsi="宋体"/>
          <w:b w:val="0"/>
          <w:sz w:val="21"/>
        </w:rPr>
        <w:t>RSI是由J. Welles Wilder Jr.于1978年在《New Concepts in Technical Trading Systems》一书中提出的动量振荡指标。Wilder曾是一名机械工程师，他的核心动机是构建一个取值固定在[0, 100]的有界振荡器——在RSI之前，常见的动量指标（如简单动量=今日收盘−N日前收盘）是无界的，无法在不同品种和不同时间段之间比较读数的高低。RSI通过将涨跌幅比例归一化到[0, 100]区间，解决了动量度量的可比性问题。</w:t>
      </w:r>
    </w:p>
    <w:p>
      <w:pPr>
        <w:spacing w:before="0" w:after="0" w:line="360" w:lineRule="auto"/>
        <w:ind w:firstLine="420"/>
        <w:jc w:val="both"/>
      </w:pPr>
      <w:r>
        <w:rPr>
          <w:rFonts w:eastAsia="宋体" w:ascii="宋体" w:hAnsi="宋体"/>
          <w:b w:val="0"/>
          <w:sz w:val="21"/>
        </w:rPr>
        <w:t>Wilder选择参数N=14并非统计优化的结果，而是基于他对期货市场交易周期的观察：14个交易日约等于3个自然周，覆盖一个短周期波动的完整起落。他使用Wilder平滑（α=1/N而非EMA的α=2/(N+1)）是因为他希望RSI过滤短期噪音而非追逐每一个微小的价格变化。</w:t>
      </w:r>
    </w:p>
    <w:p>
      <w:pPr>
        <w:spacing w:before="0" w:after="0" w:line="360" w:lineRule="auto"/>
        <w:ind w:firstLine="420"/>
        <w:jc w:val="both"/>
      </w:pPr>
      <w:r>
        <w:rPr>
          <w:rFonts w:eastAsia="宋体" w:ascii="宋体" w:hAnsi="宋体"/>
          <w:b w:val="0"/>
          <w:sz w:val="21"/>
        </w:rPr>
        <w:t>1990年代，Andrew Cardwell等人发展了RSI的背离分析方法，将RSI从单一的超买超卖判断扩展为趋势强度确认工具。Cardwell发现，在牛市中RSI倾向于在40–80区间运行（而非30–70），在熊市中倾向于在20–60区间运行——这一观察修正了固定30/70阈值的过度简化。</w:t>
      </w:r>
    </w:p>
    <w:p>
      <w:pPr>
        <w:spacing w:before="160" w:after="80" w:line="360" w:lineRule="auto"/>
        <w:jc w:val="both"/>
      </w:pPr>
      <w:r>
        <w:rPr>
          <w:rFonts w:eastAsia="宋体" w:ascii="宋体" w:hAnsi="宋体"/>
          <w:b/>
          <w:sz w:val="24"/>
        </w:rPr>
        <w:t>2.1.2 计算公式与参数</w:t>
      </w:r>
    </w:p>
    <w:p>
      <w:pPr>
        <w:jc w:val="center"/>
      </w:pPr>
      <m:oMathPara>
        <m:oMath>
          <m:r>
            <m:t xml:space="preserve">RSI = 100 − </m:t>
          </m:r>
        </m:oMath>
        <m:oMath>
          <m:f>
            <m:num>
              <m:r>
                <m:t xml:space="preserve">100</m:t>
              </m:r>
            </m:num>
            <m:den>
              <m:r>
                <m:t xml:space="preserve">1 + RS</m:t>
              </m:r>
            </m:den>
          </m:f>
        </m:oMath>
      </m:oMathPara>
    </w:p>
    <w:p>
      <w:pPr>
        <w:jc w:val="center"/>
      </w:pPr>
      <m:oMathPara>
        <m:oMath>
          <m:r>
            <m:t xml:space="preserve">RS = AvgGain / AvgLoss</m:t>
          </m:r>
        </m:oMath>
      </m:oMathPara>
    </w:p>
    <w:p>
      <w:pPr>
        <w:spacing w:before="0" w:after="0" w:line="360" w:lineRule="auto"/>
        <w:ind w:firstLine="420"/>
        <w:jc w:val="both"/>
      </w:pPr>
      <w:r>
        <w:rPr>
          <w:rFonts w:eastAsia="宋体" w:ascii="宋体" w:hAnsi="宋体"/>
          <w:b w:val="0"/>
          <w:sz w:val="21"/>
        </w:rPr>
        <w:t>使用 Wilder 平滑（α = 1/N），初始种子值取前 N 期简单移动平均。默认参数：N = 14。</w:t>
      </w:r>
    </w:p>
    <w:p>
      <w:pPr>
        <w:spacing w:before="160" w:after="80" w:line="360" w:lineRule="auto"/>
        <w:jc w:val="both"/>
      </w:pPr>
      <w:r>
        <w:rPr>
          <w:rFonts w:eastAsia="宋体" w:ascii="宋体" w:hAnsi="宋体"/>
          <w:b/>
          <w:sz w:val="24"/>
        </w:rPr>
        <w:t>2.1.3 信号含义</w:t>
      </w:r>
    </w:p>
    <w:p>
      <w:pPr>
        <w:spacing w:before="0" w:after="0" w:line="360" w:lineRule="auto"/>
        <w:ind w:firstLine="420"/>
        <w:jc w:val="both"/>
      </w:pPr>
      <w:r>
        <w:rPr>
          <w:rFonts w:eastAsia="宋体" w:ascii="宋体" w:hAnsi="宋体"/>
          <w:b w:val="0"/>
          <w:sz w:val="21"/>
        </w:rPr>
        <w:t>RSI &gt; 70：过去N日内涨幅的Wilder平滑值达到跌幅平滑值的2.33倍以上（RS &gt; 2.33），近期价格上涨的持续性显著高于下跌。RSI &lt; 30：跌幅平滑值达到涨幅平滑值的2.33倍以上，近期下跌的持续性显著高于上涨。RSI从下方突破50：涨幅平滑值重新超过跌幅平滑值，涨跌力量对比从跌方占优转为涨方占优。RSI从上方跌破50：跌幅平滑值重新超过涨幅平滑值，涨跌力量对比从涨方占优转为跌方占优。</w:t>
        <w:br/>
        <w:br/>
        <w:t>顶背离（价格创新高，RSI未创新高）：最新一波上涨中，涨幅与跌幅的比值（RS）未能超过前一波上涨时的水平。尽管价格更高，但内部涨跌力量比在衰减——推动新高的上涨力度弱于前一次。底背离（价格创新低，RSI未创新低）：同理，打压新低的下跌力度弱于前一次。</w:t>
        <w:br/>
        <w:br/>
        <w:t>RSI在强单边趋势中可能出现"钝化"——长期停留在超买区（&gt;70）或超卖区（&lt;30）而不回落。这不是反转信号，而是趋势极强的确认。RSI在震荡市中最有效，在强趋势市中使用区间信号时需要结合趋势强度指标（如ADX）共同判断。</w:t>
      </w:r>
    </w:p>
    <w:p>
      <w:pPr>
        <w:spacing w:before="160" w:after="80" w:line="360" w:lineRule="auto"/>
        <w:jc w:val="both"/>
      </w:pPr>
      <w:r>
        <w:rPr>
          <w:rFonts w:eastAsia="宋体" w:ascii="宋体" w:hAnsi="宋体"/>
          <w:b/>
          <w:sz w:val="24"/>
        </w:rPr>
        <w:t>2.2 指数平滑异同移动平均线（MACD）</w:t>
      </w:r>
    </w:p>
    <w:p>
      <w:pPr>
        <w:spacing w:before="160" w:after="80" w:line="360" w:lineRule="auto"/>
        <w:jc w:val="both"/>
      </w:pPr>
      <w:r>
        <w:rPr>
          <w:rFonts w:eastAsia="宋体" w:ascii="宋体" w:hAnsi="宋体"/>
          <w:b/>
          <w:sz w:val="24"/>
        </w:rPr>
        <w:t>2.2.1 历史演化</w:t>
      </w:r>
    </w:p>
    <w:p>
      <w:pPr>
        <w:spacing w:before="0" w:after="0" w:line="360" w:lineRule="auto"/>
        <w:ind w:firstLine="420"/>
        <w:jc w:val="both"/>
      </w:pPr>
      <w:r>
        <w:rPr>
          <w:rFonts w:eastAsia="宋体" w:ascii="宋体" w:hAnsi="宋体"/>
          <w:b w:val="0"/>
          <w:sz w:val="21"/>
        </w:rPr>
        <w:t>MACD由Gerald Appel于1979年提出，发表于《Technical Analysis of Stocks &amp; Commodities》杂志。Appel是一位管理数亿美元资金的投资顾问，他的设计目标是将趋势方向判断（跟踪型指标的功能）和趋势力度度量（动量型指标的功能）融合到一个指标体系中。</w:t>
      </w:r>
    </w:p>
    <w:p>
      <w:pPr>
        <w:spacing w:before="0" w:after="0" w:line="360" w:lineRule="auto"/>
        <w:ind w:firstLine="420"/>
        <w:jc w:val="both"/>
      </w:pPr>
      <w:r>
        <w:rPr>
          <w:rFonts w:eastAsia="宋体" w:ascii="宋体" w:hAnsi="宋体"/>
          <w:b w:val="0"/>
          <w:sz w:val="21"/>
        </w:rPr>
        <w:t>Appel选择EMA而非SMA，是因为EMA对近期价格赋予更高权重（α=2/(N+1)），能更快反映趋势的变化。参数12（约2.5个自然周）、26（约1个自然月）和9（约2个自然周）的选取映射到自然时间单位，反映了短期交易成本与中期交易成本的关系。</w:t>
      </w:r>
    </w:p>
    <w:p>
      <w:pPr>
        <w:spacing w:before="0" w:after="0" w:line="360" w:lineRule="auto"/>
        <w:ind w:firstLine="420"/>
        <w:jc w:val="both"/>
      </w:pPr>
      <w:r>
        <w:rPr>
          <w:rFonts w:eastAsia="宋体" w:ascii="宋体" w:hAnsi="宋体"/>
          <w:b w:val="0"/>
          <w:sz w:val="21"/>
        </w:rPr>
        <w:t>1986年，Thomas Aspray发现MACD柱状图（BAR=DIF−DEA）比金叉死叉更早反映趋势变化——柱状图的缩短通常在交叉发生前1–3根K线就已开始。这一发现使交易者可以在金叉死叉之前获得趋势动能衰减的预警。</w:t>
      </w:r>
    </w:p>
    <w:p>
      <w:pPr>
        <w:spacing w:before="160" w:after="80" w:line="360" w:lineRule="auto"/>
        <w:jc w:val="both"/>
      </w:pPr>
      <w:r>
        <w:rPr>
          <w:rFonts w:eastAsia="宋体" w:ascii="宋体" w:hAnsi="宋体"/>
          <w:b/>
          <w:sz w:val="24"/>
        </w:rPr>
        <w:t>2.2.2 计算公式与参数</w:t>
      </w:r>
    </w:p>
    <w:p>
      <w:pPr>
        <w:jc w:val="center"/>
      </w:pPr>
      <m:oMathPara>
        <m:oMath>
          <m:r>
            <m:t xml:space="preserve">DIF = EMA(Close, 12) − EMA(Close, 26)</m:t>
          </m:r>
        </m:oMath>
      </m:oMathPara>
    </w:p>
    <w:p>
      <w:pPr>
        <w:jc w:val="center"/>
      </w:pPr>
      <m:oMathPara>
        <m:oMath>
          <m:r>
            <m:t xml:space="preserve">DEA = EMA(DIF, 9)</m:t>
          </m:r>
        </m:oMath>
      </m:oMathPara>
    </w:p>
    <w:p>
      <w:pPr>
        <w:jc w:val="center"/>
      </w:pPr>
      <m:oMathPara>
        <m:oMath>
          <m:r>
            <m:t xml:space="preserve">BAR = 2 × (DIF − DEA)</m:t>
          </m:r>
        </m:oMath>
      </m:oMathPara>
    </w:p>
    <w:p>
      <w:pPr>
        <w:spacing w:before="0" w:after="0" w:line="360" w:lineRule="auto"/>
        <w:ind w:firstLine="420"/>
        <w:jc w:val="both"/>
      </w:pPr>
      <w:r>
        <w:rPr>
          <w:rFonts w:eastAsia="宋体" w:ascii="宋体" w:hAnsi="宋体"/>
          <w:b w:val="0"/>
          <w:sz w:val="21"/>
        </w:rPr>
        <w:t>EMA 使用 α = 2/(N+1) 的指数平滑系数。默认参数：fast = 12, slow = 26, signal = 9。</w:t>
      </w:r>
    </w:p>
    <w:p>
      <w:pPr>
        <w:spacing w:before="160" w:after="80" w:line="360" w:lineRule="auto"/>
        <w:jc w:val="both"/>
      </w:pPr>
      <w:r>
        <w:rPr>
          <w:rFonts w:eastAsia="宋体" w:ascii="宋体" w:hAnsi="宋体"/>
          <w:b/>
          <w:sz w:val="24"/>
        </w:rPr>
        <w:t>2.2.3 信号含义</w:t>
      </w:r>
    </w:p>
    <w:p>
      <w:pPr>
        <w:spacing w:before="0" w:after="0" w:line="360" w:lineRule="auto"/>
        <w:ind w:firstLine="420"/>
        <w:jc w:val="both"/>
      </w:pPr>
      <w:r>
        <w:rPr>
          <w:rFonts w:eastAsia="宋体" w:ascii="宋体" w:hAnsi="宋体"/>
          <w:b w:val="0"/>
          <w:sz w:val="21"/>
        </w:rPr>
        <w:t>DIF上穿DEA（金叉）：DIF正以快于其近期平均速率的速度增长，短期EMA与长期EMA的间距在加速扩大。DIF下穿DEA（死叉）：DIF正以快于其近期平均速率的速度减小，短期EMA与长期EMA的间距在加速收缩。</w:t>
        <w:br/>
        <w:br/>
        <w:t>DIF &gt; 0（零轴上方）：EMA(Close, 12) &gt; EMA(Close, 26)，近12日加权平均成本高于近26日加权平均成本。当前市场价格高于约一个月来的平均成本中枢。DIF &lt; 0（零轴下方）：近12日加权平均成本低于近26日加权平均成本。</w:t>
        <w:br/>
        <w:br/>
        <w:t>BAR绝对值连续增大：|DIF−DEA|在扩大，趋势的瞬时加速度在增大。BAR绝对值连续减小：趋势的瞬时加速度在减小——这通常比DIF与DEA的交叉提前1–3根K线出现，是动量衰减的早期信号。</w:t>
        <w:br/>
        <w:br/>
        <w:t>MACD在趋势明确的市场中最有效。在震荡市中，快慢EMA反复交叉产生连续的假金叉和假死叉——称为"拉锯效应"（whipsaw）。此时需要结合ADX或其他趋势确认指标来过滤信号。</w:t>
      </w:r>
    </w:p>
    <w:p>
      <w:pPr>
        <w:spacing w:before="160" w:after="80" w:line="360" w:lineRule="auto"/>
        <w:jc w:val="both"/>
      </w:pPr>
      <w:r>
        <w:rPr>
          <w:rFonts w:eastAsia="宋体" w:ascii="宋体" w:hAnsi="宋体"/>
          <w:b/>
          <w:sz w:val="24"/>
        </w:rPr>
        <w:t>2.3 Bollinger Bands（布林带）</w:t>
      </w:r>
    </w:p>
    <w:p>
      <w:pPr>
        <w:spacing w:before="160" w:after="80" w:line="360" w:lineRule="auto"/>
        <w:jc w:val="both"/>
      </w:pPr>
      <w:r>
        <w:rPr>
          <w:rFonts w:eastAsia="宋体" w:ascii="宋体" w:hAnsi="宋体"/>
          <w:b/>
          <w:sz w:val="24"/>
        </w:rPr>
        <w:t>2.3.1 历史演化</w:t>
      </w:r>
    </w:p>
    <w:p>
      <w:pPr>
        <w:spacing w:before="0" w:after="0" w:line="360" w:lineRule="auto"/>
        <w:ind w:firstLine="420"/>
        <w:jc w:val="both"/>
      </w:pPr>
      <w:r>
        <w:rPr>
          <w:rFonts w:eastAsia="宋体" w:ascii="宋体" w:hAnsi="宋体"/>
          <w:b w:val="0"/>
          <w:sz w:val="21"/>
        </w:rPr>
        <w:t>布林带由John Bollinger在1980年代早期提出，最初发表于1992年的《Stocks &amp; Commodities》杂志。Bollinger曾任职于Financial News Network（后并入CNBC），负责技术分析内容的制作。</w:t>
      </w:r>
    </w:p>
    <w:p>
      <w:pPr>
        <w:spacing w:before="0" w:after="0" w:line="360" w:lineRule="auto"/>
        <w:ind w:firstLine="420"/>
        <w:jc w:val="both"/>
      </w:pPr>
      <w:r>
        <w:rPr>
          <w:rFonts w:eastAsia="宋体" w:ascii="宋体" w:hAnsi="宋体"/>
          <w:b w:val="0"/>
          <w:sz w:val="21"/>
        </w:rPr>
        <w:t>Bollinger的核心创新是：用标准差（σ）取代传统通道指标中使用的固定百分比。固定百分比通道的基本缺陷是假设市场波动率恒定——实际上金融市场的波动率随时间变化剧烈。在市场波动率低时固定通道过宽，价格永远触不到边界；波动率高时通道过窄，价格频繁突破导致信号失效。标准差是一个天然的时变波动率度量——波动大时σ增大、通道自动变宽，波动小时σ减小、通道自动收窄，使得布林带成为一个自适应波动率的通道系统。</w:t>
      </w:r>
    </w:p>
    <w:p>
      <w:pPr>
        <w:spacing w:before="0" w:after="0" w:line="360" w:lineRule="auto"/>
        <w:ind w:firstLine="420"/>
        <w:jc w:val="both"/>
      </w:pPr>
      <w:r>
        <w:rPr>
          <w:rFonts w:eastAsia="宋体" w:ascii="宋体" w:hAnsi="宋体"/>
          <w:b w:val="0"/>
          <w:sz w:val="21"/>
        </w:rPr>
        <w:t>Bollinger选择参数N=20（约一个自然月交易日）和k=2（正态分布下覆盖约95.4%的样本），但他本人强调正态假设只是近似——实际金融数据具有肥尾特征，价格触及轨道的概率高于5%。他后续引入了%b（价格在带内的相对位置）和BandWidth（带宽百分比）两个辅助指标，用于量化轨道挤压（Squeeze）和价格相对定位。</w:t>
      </w:r>
    </w:p>
    <w:p>
      <w:pPr>
        <w:spacing w:before="160" w:after="80" w:line="360" w:lineRule="auto"/>
        <w:jc w:val="both"/>
      </w:pPr>
      <w:r>
        <w:rPr>
          <w:rFonts w:eastAsia="宋体" w:ascii="宋体" w:hAnsi="宋体"/>
          <w:b/>
          <w:sz w:val="24"/>
        </w:rPr>
        <w:t>2.3.2 计算公式与参数</w:t>
      </w:r>
    </w:p>
    <w:p>
      <w:pPr>
        <w:jc w:val="center"/>
      </w:pPr>
      <m:oMathPara>
        <m:oMath>
          <m:r>
            <m:t xml:space="preserve">MID = SMA(Close, 20)</m:t>
          </m:r>
        </m:oMath>
      </m:oMathPara>
    </w:p>
    <w:p>
      <w:pPr>
        <w:jc w:val="center"/>
      </w:pPr>
      <m:oMathPara>
        <m:oMath>
          <m:r>
            <m:t xml:space="preserve">UP = MID + k × σ    DN = MID − k × σ</m:t>
          </m:r>
        </m:oMath>
      </m:oMathPara>
    </w:p>
    <w:p>
      <w:pPr>
        <w:jc w:val="center"/>
      </w:pPr>
      <m:oMathPara>
        <m:oMath>
          <m:r>
            <m:t xml:space="preserve">%b = (Close − DN) / (UP − DN)</m:t>
          </m:r>
        </m:oMath>
      </m:oMathPara>
    </w:p>
    <w:p>
      <w:pPr>
        <w:jc w:val="center"/>
      </w:pPr>
      <m:oMathPara>
        <m:oMath>
          <m:r>
            <m:t xml:space="preserve">BandWidth = (UP − DN) / MID × 100%</m:t>
          </m:r>
        </m:oMath>
      </m:oMathPara>
    </w:p>
    <w:p>
      <w:pPr>
        <w:spacing w:before="0" w:after="0" w:line="360" w:lineRule="auto"/>
        <w:ind w:firstLine="420"/>
        <w:jc w:val="both"/>
      </w:pPr>
      <w:r>
        <w:rPr>
          <w:rFonts w:eastAsia="宋体" w:ascii="宋体" w:hAnsi="宋体"/>
          <w:b w:val="0"/>
          <w:sz w:val="21"/>
        </w:rPr>
        <w:t>标准差 σ 用于自适应波动率。默认参数：period = 20, k = 2.0。</w:t>
      </w:r>
    </w:p>
    <w:p>
      <w:pPr>
        <w:spacing w:before="160" w:after="80" w:line="360" w:lineRule="auto"/>
        <w:jc w:val="both"/>
      </w:pPr>
      <w:r>
        <w:rPr>
          <w:rFonts w:eastAsia="宋体" w:ascii="宋体" w:hAnsi="宋体"/>
          <w:b/>
          <w:sz w:val="24"/>
        </w:rPr>
        <w:t>2.3.3 信号含义</w:t>
      </w:r>
    </w:p>
    <w:p>
      <w:pPr>
        <w:spacing w:before="0" w:after="0" w:line="360" w:lineRule="auto"/>
        <w:ind w:firstLine="420"/>
        <w:jc w:val="both"/>
      </w:pPr>
      <w:r>
        <w:rPr>
          <w:rFonts w:eastAsia="宋体" w:ascii="宋体" w:hAnsi="宋体"/>
          <w:b w:val="0"/>
          <w:sz w:val="21"/>
        </w:rPr>
        <w:t>价格突破上轨（%b &gt; 1）：收盘价超过MID + 2σ。在当前N日样本中，这个价位与均值的偏差超过了2个标准差，属于统计意义的极端值。价格跌破下轨（%b &lt; 0）：收盘价低于MID − 2σ，处于统计低位。</w:t>
        <w:br/>
        <w:br/>
        <w:t>带宽收窄（Squeeze）：标准差σ减小导致上下轨间距收缩。低波动率环境不会无限持续——历史数据显示波动率存在聚集效应（volatility clustering），极端低波动后通常跟随波动率的均值回归（放大）。布林带将这种状态称为Squeeze——带宽收缩至极低值后，往往伴随波动率的突然放大和方向性行情的出现。</w:t>
        <w:br/>
        <w:br/>
        <w:t>价格连续≥5根K线沿上轨运行（%b持续&gt;0.8）：价格持续在MID+1.6σ以上的高位运行而没有回归中轨。这不是一次性的统计异常值，而是趋势在持续向上推进——同时中轨自身也在跟随上移。中轨斜率由平转正：SMA(Close, 20)的方向从横向转为向上，近期价格的重心开始上移。</w:t>
        <w:br/>
        <w:br/>
        <w:t>布林带的核心假设（价格在一定时间尺度上围绕均值波动）在非趋势市场中成立得较好。在强趋势市场中，价格可以持续沿轨道运行而不回归中轨——此时的正确解读是"价格沿轨道持续运行意味着趋势强劲"而非"突破轨道意味着即将反转"。</w:t>
      </w:r>
    </w:p>
    <w:p>
      <w:pPr>
        <w:spacing w:before="160" w:after="80" w:line="360" w:lineRule="auto"/>
        <w:jc w:val="both"/>
      </w:pPr>
      <w:r>
        <w:rPr>
          <w:rFonts w:eastAsia="宋体" w:ascii="宋体" w:hAnsi="宋体"/>
          <w:b/>
          <w:sz w:val="24"/>
        </w:rPr>
        <w:t>2.4 平均真实波幅（ATR）</w:t>
      </w:r>
    </w:p>
    <w:p>
      <w:pPr>
        <w:spacing w:before="160" w:after="80" w:line="360" w:lineRule="auto"/>
        <w:jc w:val="both"/>
      </w:pPr>
      <w:r>
        <w:rPr>
          <w:rFonts w:eastAsia="宋体" w:ascii="宋体" w:hAnsi="宋体"/>
          <w:b/>
          <w:sz w:val="24"/>
        </w:rPr>
        <w:t>2.4.1 历史演化</w:t>
      </w:r>
    </w:p>
    <w:p>
      <w:pPr>
        <w:spacing w:before="0" w:after="0" w:line="360" w:lineRule="auto"/>
        <w:ind w:firstLine="420"/>
        <w:jc w:val="both"/>
      </w:pPr>
      <w:r>
        <w:rPr>
          <w:rFonts w:eastAsia="宋体" w:ascii="宋体" w:hAnsi="宋体"/>
          <w:b w:val="0"/>
          <w:sz w:val="21"/>
        </w:rPr>
        <w:t>ATR由J. Welles Wilder Jr.于1978年与RSI一同在《New Concepts in Technical Trading Systems》中提出。Wilder最初设计ATR是为商品期货市场服务——商品期货相比股票更容易出现隔夜跳空缺口（因天气、地缘、供需消息等）。</w:t>
      </w:r>
    </w:p>
    <w:p>
      <w:pPr>
        <w:spacing w:before="0" w:after="0" w:line="360" w:lineRule="auto"/>
        <w:ind w:firstLine="420"/>
        <w:jc w:val="both"/>
      </w:pPr>
      <w:r>
        <w:rPr>
          <w:rFonts w:eastAsia="宋体" w:ascii="宋体" w:hAnsi="宋体"/>
          <w:b w:val="0"/>
          <w:sz w:val="21"/>
        </w:rPr>
        <w:t>传统波动度量方式是计算当日最高价与最低价的差值（即日内振幅）。但日内振幅无法捕捉跨交易日的价格跳跃——如果今日因隔夜利好消息直接高开，日内振幅可能很小，但实际的价格运动（从昨日收盘到今天高位）是巨大的。Wilder定义了真实波幅（True Range）：取"日内振幅""今高与昨收的缺口""今低与昨收的缺口"三者中的最大值，确保任何形式的跨日价格运动都被纳入波动度量。</w:t>
      </w:r>
    </w:p>
    <w:p>
      <w:pPr>
        <w:spacing w:before="0" w:after="0" w:line="360" w:lineRule="auto"/>
        <w:ind w:firstLine="420"/>
        <w:jc w:val="both"/>
      </w:pPr>
      <w:r>
        <w:rPr>
          <w:rFonts w:eastAsia="宋体" w:ascii="宋体" w:hAnsi="宋体"/>
          <w:b w:val="0"/>
          <w:sz w:val="21"/>
        </w:rPr>
        <w:t>Wilder对ATR使用1/N系数的Wilder平滑（而非EMA的2/(N+1)），因为他希望ATR反映市场波动率的背景水平而非追踪每日波动的瞬时变化。1998年，Van K. Tharp在《Trade Your Way to Financial Freedom》中将ATR引入仓位管理系统——用ATR标准化每笔交易的风险暴露，使ATR从单纯的波动度量工具扩展为风险管理的核心输入。</w:t>
      </w:r>
    </w:p>
    <w:p>
      <w:pPr>
        <w:spacing w:before="160" w:after="80" w:line="360" w:lineRule="auto"/>
        <w:jc w:val="both"/>
      </w:pPr>
      <w:r>
        <w:rPr>
          <w:rFonts w:eastAsia="宋体" w:ascii="宋体" w:hAnsi="宋体"/>
          <w:b/>
          <w:sz w:val="24"/>
        </w:rPr>
        <w:t>2.4.2 计算公式与参数</w:t>
      </w:r>
    </w:p>
    <w:p>
      <w:pPr>
        <w:jc w:val="center"/>
      </w:pPr>
      <m:oMathPara>
        <m:oMath>
          <m:r>
            <m:t xml:space="preserve">TR = max(High − Low, |High − C_{t−1}|, |Low − C_{t−1}|)</m:t>
          </m:r>
        </m:oMath>
      </m:oMathPara>
    </w:p>
    <w:p>
      <w:pPr>
        <w:jc w:val="center"/>
      </w:pPr>
      <m:oMathPara>
        <m:oMath>
          <m:r>
            <m:t xml:space="preserve">ATR = WilderSmooth(TR, N),    α = 1/N</m:t>
          </m:r>
        </m:oMath>
      </m:oMathPara>
    </w:p>
    <w:p>
      <w:pPr>
        <w:spacing w:before="0" w:after="0" w:line="360" w:lineRule="auto"/>
        <w:ind w:firstLine="420"/>
        <w:jc w:val="both"/>
      </w:pPr>
      <w:r>
        <w:rPr>
          <w:rFonts w:eastAsia="宋体" w:ascii="宋体" w:hAnsi="宋体"/>
          <w:b w:val="0"/>
          <w:sz w:val="21"/>
        </w:rPr>
        <w:t>Wilder 平滑系数 α = 1/N。默认参数：N = 14。</w:t>
      </w:r>
    </w:p>
    <w:p>
      <w:pPr>
        <w:spacing w:before="160" w:after="80" w:line="360" w:lineRule="auto"/>
        <w:jc w:val="both"/>
      </w:pPr>
      <w:r>
        <w:rPr>
          <w:rFonts w:eastAsia="宋体" w:ascii="宋体" w:hAnsi="宋体"/>
          <w:b/>
          <w:sz w:val="24"/>
        </w:rPr>
        <w:t>2.4.3 信号含义</w:t>
      </w:r>
    </w:p>
    <w:p>
      <w:pPr>
        <w:spacing w:before="0" w:after="0" w:line="360" w:lineRule="auto"/>
        <w:ind w:firstLine="420"/>
        <w:jc w:val="both"/>
      </w:pPr>
      <w:r>
        <w:rPr>
          <w:rFonts w:eastAsia="宋体" w:ascii="宋体" w:hAnsi="宋体"/>
          <w:b w:val="0"/>
          <w:sz w:val="21"/>
        </w:rPr>
        <w:t>ATR上升：近N日的平均真实波幅在增大。无论价格上涨还是下跌，每根K线的价格运动幅度在扩大。市场参与者的交易活跃度或分歧程度在上升。ATR下降：近N日的平均真实波幅在减小，K线运动幅度在缩小。</w:t>
        <w:br/>
        <w:br/>
        <w:t>ATR突然跳升（当前ATR/过去20日均值 &gt; 1.5）：真实波幅出现了超出近期正常范围的放大。通常与重大消息、财报发布、政策变动等事件有关。ATR持续低位（连续多日低于长期均值一半）：市场进入低波动环境——由于波动率有均值回归倾向，持续低ATR往往预示着后续波动放大。</w:t>
        <w:br/>
        <w:br/>
        <w:t>ATR/Close（归一化ATR）：将ATR除以收盘价得到百分比形式，使不同价格水平的品种的波动烈度可以直接比较。例如ATR=5元、Close=100元的品种（ATR%=5%）比ATR=5元、Close=500元的品种（ATR%=1%）的波动烈度高5倍。</w:t>
        <w:br/>
        <w:br/>
        <w:t>ATR是八个指标中唯一完全不做方向判断的指标——它只回答"市场波动有多大"而不回答"市场在涨还是跌"。ATR的核心价值在于风险管理和仓位调整中的波动率标准化。</w:t>
      </w:r>
    </w:p>
    <w:p>
      <w:pPr>
        <w:spacing w:before="160" w:after="80" w:line="360" w:lineRule="auto"/>
        <w:jc w:val="both"/>
      </w:pPr>
      <w:r>
        <w:rPr>
          <w:rFonts w:eastAsia="宋体" w:ascii="宋体" w:hAnsi="宋体"/>
          <w:b/>
          <w:sz w:val="24"/>
        </w:rPr>
        <w:t>2.5 随机指标（KDJ）</w:t>
      </w:r>
    </w:p>
    <w:p>
      <w:pPr>
        <w:spacing w:before="160" w:after="80" w:line="360" w:lineRule="auto"/>
        <w:jc w:val="both"/>
      </w:pPr>
      <w:r>
        <w:rPr>
          <w:rFonts w:eastAsia="宋体" w:ascii="宋体" w:hAnsi="宋体"/>
          <w:b/>
          <w:sz w:val="24"/>
        </w:rPr>
        <w:t>2.5.1 历史演化</w:t>
      </w:r>
    </w:p>
    <w:p>
      <w:pPr>
        <w:spacing w:before="0" w:after="0" w:line="360" w:lineRule="auto"/>
        <w:ind w:firstLine="420"/>
        <w:jc w:val="both"/>
      </w:pPr>
      <w:r>
        <w:rPr>
          <w:rFonts w:eastAsia="宋体" w:ascii="宋体" w:hAnsi="宋体"/>
          <w:b w:val="0"/>
          <w:sz w:val="21"/>
        </w:rPr>
        <w:t>随机指标的原始形式（%K和%D）由George C. Lane在1950年代提出。Lane是一名期货交易员和投资教育家，他通过观察发现：在上涨趋势中，收盘价倾向于收在当日价格区间的上端（接近最高价）；在下跌趋势中，收盘价倾向于收在当日价格区间的下端（接近最低价）；在趋势即将反转时，收盘价的位置会先于价格本身开始偏移——即使绝对价格还在创新高，收盘价相对于当日区间的位置可能已经开始下移。</w:t>
      </w:r>
    </w:p>
    <w:p>
      <w:pPr>
        <w:spacing w:before="0" w:after="0" w:line="360" w:lineRule="auto"/>
        <w:ind w:firstLine="420"/>
        <w:jc w:val="both"/>
      </w:pPr>
      <w:r>
        <w:rPr>
          <w:rFonts w:eastAsia="宋体" w:ascii="宋体" w:hAnsi="宋体"/>
          <w:b w:val="0"/>
          <w:sz w:val="21"/>
        </w:rPr>
        <w:t>Lane将这一观察形式化为随机值RSV（Raw Stochastic Value）：收盘价在过去N日最高价和最低价之间的百分位位置。RSV=80意味着收盘价处于区间的上80%位置，RSV=20意味着收盘价处于区间的下20%位置。</w:t>
      </w:r>
    </w:p>
    <w:p>
      <w:pPr>
        <w:spacing w:before="0" w:after="0" w:line="360" w:lineRule="auto"/>
        <w:ind w:firstLine="420"/>
        <w:jc w:val="both"/>
      </w:pPr>
      <w:r>
        <w:rPr>
          <w:rFonts w:eastAsia="宋体" w:ascii="宋体" w:hAnsi="宋体"/>
          <w:b w:val="0"/>
          <w:sz w:val="21"/>
        </w:rPr>
        <w:t>KDJ在传统KD指标（%K=RSV的EMA平滑，%D=%K的EMA平滑）基础上增加了一条J线（J=3K−2D）。J线的引入主要来自中国A股市场技术分析软件的实践（如通达信、同花顺），在国际市场上并不常见。J线通过数学放大K与D的差异，比K线和D线更早、更剧烈地反映方向变化。J&gt;100或J&lt;0的状态在数学上是不稳定的，因为J对K的放大效应在K的增速放缓时会迅速衰减。</w:t>
      </w:r>
    </w:p>
    <w:p>
      <w:pPr>
        <w:spacing w:before="160" w:after="80" w:line="360" w:lineRule="auto"/>
        <w:jc w:val="both"/>
      </w:pPr>
      <w:r>
        <w:rPr>
          <w:rFonts w:eastAsia="宋体" w:ascii="宋体" w:hAnsi="宋体"/>
          <w:b/>
          <w:sz w:val="24"/>
        </w:rPr>
        <w:t>2.5.2 计算公式与参数</w:t>
      </w:r>
    </w:p>
    <w:p>
      <w:pPr>
        <w:jc w:val="center"/>
      </w:pPr>
      <m:oMathPara>
        <m:oMath>
          <m:r>
            <m:t xml:space="preserve">RSV = (C − L₉) / (H₉ − L₉) × 100</m:t>
          </m:r>
        </m:oMath>
      </m:oMathPara>
    </w:p>
    <w:p>
      <w:pPr>
        <w:jc w:val="center"/>
      </w:pPr>
      <m:oMathPara>
        <m:oMath>
          <m:r>
            <m:t xml:space="preserve">K = SMA(RSV, 3)    D = SMA(K, 3)    J = 3K − 2D</m:t>
          </m:r>
        </m:oMath>
      </m:oMathPara>
    </w:p>
    <w:p>
      <w:pPr>
        <w:spacing w:before="0" w:after="0" w:line="360" w:lineRule="auto"/>
        <w:ind w:firstLine="420"/>
        <w:jc w:val="both"/>
      </w:pPr>
      <w:r>
        <w:rPr>
          <w:rFonts w:eastAsia="宋体" w:ascii="宋体" w:hAnsi="宋体"/>
          <w:b w:val="0"/>
          <w:sz w:val="21"/>
        </w:rPr>
        <w:t>RSV 为收盘价在 N 日区间内的百分位位置。默认参数：period = 9, smooth_k = 3, smooth_d = 3。</w:t>
      </w:r>
    </w:p>
    <w:p>
      <w:pPr>
        <w:spacing w:before="160" w:after="80" w:line="360" w:lineRule="auto"/>
        <w:jc w:val="both"/>
      </w:pPr>
      <w:r>
        <w:rPr>
          <w:rFonts w:eastAsia="宋体" w:ascii="宋体" w:hAnsi="宋体"/>
          <w:b/>
          <w:sz w:val="24"/>
        </w:rPr>
        <w:t>2.5.3 信号含义</w:t>
      </w:r>
    </w:p>
    <w:p>
      <w:pPr>
        <w:spacing w:before="0" w:after="0" w:line="360" w:lineRule="auto"/>
        <w:ind w:firstLine="420"/>
        <w:jc w:val="both"/>
      </w:pPr>
      <w:r>
        <w:rPr>
          <w:rFonts w:eastAsia="宋体" w:ascii="宋体" w:hAnsi="宋体"/>
          <w:b w:val="0"/>
          <w:sz w:val="21"/>
        </w:rPr>
        <w:t>K &gt; 80且D &gt; 80：RSV经过平滑后持续处于高位，收盘价在近期区间内持续接近最高价。K &lt; 20且D &lt; 20：收盘价在近期区间内持续接近最低价。</w:t>
        <w:br/>
        <w:br/>
        <w:t>K上穿D（低位金叉）：RSV的短期平滑线向上突破其自身的长期平滑线，收盘价在区间内的位置正在上移。如果发生在K/D&lt;20的极低区域，说明这一上移是从区间极低位置开始的。K下穿D（高位死叉）：RSV的短期平滑线正在加速下降。</w:t>
        <w:br/>
        <w:br/>
        <w:t>J &gt; 100：K的偏移量2×(K−D)与K自身之和超过了100。K向上偏离D的程度较大，且两者的方向均为向上。J&gt;100在数学上是不稳定的——J对K的放大效应在K增速放缓时会迅速衰减。同理J&lt;0也是数学上不稳定的状态。</w:t>
        <w:br/>
        <w:br/>
        <w:t>KDJ的高敏感度使其在震荡市和短期波段中较为有效。在强趋势中，KDJ会"钝化"——K、D、J在80以上或20以下长期徘徊且反复缠绕，无法通过极值回归来区分"趋势延续"和"趋势反转"。此外，KDJ的区间依赖特性意味着：如果区间因单根长K线而突然扩大，后续数日的RSV值都会受到该极值的"锚定效应"影响。</w:t>
      </w:r>
    </w:p>
    <w:p>
      <w:pPr>
        <w:spacing w:before="160" w:after="80" w:line="360" w:lineRule="auto"/>
        <w:jc w:val="both"/>
      </w:pPr>
      <w:r>
        <w:rPr>
          <w:rFonts w:eastAsia="宋体" w:ascii="宋体" w:hAnsi="宋体"/>
          <w:b/>
          <w:sz w:val="24"/>
        </w:rPr>
        <w:t>2.6 移动平均线（MA）</w:t>
      </w:r>
    </w:p>
    <w:p>
      <w:pPr>
        <w:spacing w:before="160" w:after="80" w:line="360" w:lineRule="auto"/>
        <w:jc w:val="both"/>
      </w:pPr>
      <w:r>
        <w:rPr>
          <w:rFonts w:eastAsia="宋体" w:ascii="宋体" w:hAnsi="宋体"/>
          <w:b/>
          <w:sz w:val="24"/>
        </w:rPr>
        <w:t>2.6.1 历史演化</w:t>
      </w:r>
    </w:p>
    <w:p>
      <w:pPr>
        <w:spacing w:before="0" w:after="0" w:line="360" w:lineRule="auto"/>
        <w:ind w:firstLine="420"/>
        <w:jc w:val="both"/>
      </w:pPr>
      <w:r>
        <w:rPr>
          <w:rFonts w:eastAsia="宋体" w:ascii="宋体" w:hAnsi="宋体"/>
          <w:b w:val="0"/>
          <w:sz w:val="21"/>
        </w:rPr>
        <w:t>移动平均的概念可追溯到19世纪末的统计学领域，但它在金融市场的系统应用始于20世纪初。最著名的早期实践者是Richard Donchian——他在1930年代使用5日和20日移动平均线的交叉来生成商品期货交易信号，被公认为"趋势跟踪之父"。Donchian的核心理念是：让价格本身通过移动平均线告知趋势何时发生变化，而非依赖主观预测。</w:t>
      </w:r>
    </w:p>
    <w:p>
      <w:pPr>
        <w:spacing w:before="0" w:after="0" w:line="360" w:lineRule="auto"/>
        <w:ind w:firstLine="420"/>
        <w:jc w:val="both"/>
      </w:pPr>
      <w:r>
        <w:rPr>
          <w:rFonts w:eastAsia="宋体" w:ascii="宋体" w:hAnsi="宋体"/>
          <w:b w:val="0"/>
          <w:sz w:val="21"/>
        </w:rPr>
        <w:t>SMA（简单移动平均）是最早的形式——每期权重相等。1960年代，P.N. Haurlan将指数平滑引入股票市场分析，而后EMA（指数移动平均）因对近期数据赋予更高权重而逐渐流行。EMA解决了SMA的两个数学问题：(1) SMA的"幽灵效应"——当旧数据被移出窗口时，SMA产生一次性的跳跃（即使当前价格不变）；(2) SMA对所有N期内数据等同对待，忽略了信息的时效衰减——昨天的价格和N天前的价格被赋予相同的影响力。</w:t>
      </w:r>
    </w:p>
    <w:p>
      <w:pPr>
        <w:spacing w:before="0" w:after="0" w:line="360" w:lineRule="auto"/>
        <w:ind w:firstLine="420"/>
        <w:jc w:val="both"/>
      </w:pPr>
      <w:r>
        <w:rPr>
          <w:rFonts w:eastAsia="宋体" w:ascii="宋体" w:hAnsi="宋体"/>
          <w:b w:val="0"/>
          <w:sz w:val="21"/>
        </w:rPr>
        <w:t>1970年代，Robert Levy和Jack Schwager发展了多周期均线分析框架——用不同时间尺度的MA同时作用，通过观察均线的排列关系（多头排列：短期MA全部在长期MA之上）来判断趋势的强度和多周期一致性。这一分析方法至今仍是趋势跟踪策略的基础。</w:t>
      </w:r>
    </w:p>
    <w:p>
      <w:pPr>
        <w:spacing w:before="160" w:after="80" w:line="360" w:lineRule="auto"/>
        <w:jc w:val="both"/>
      </w:pPr>
      <w:r>
        <w:rPr>
          <w:rFonts w:eastAsia="宋体" w:ascii="宋体" w:hAnsi="宋体"/>
          <w:b/>
          <w:sz w:val="24"/>
        </w:rPr>
        <w:t>2.6.2 计算公式与参数</w:t>
      </w:r>
    </w:p>
    <w:p>
      <w:pPr>
        <w:jc w:val="center"/>
      </w:pPr>
      <m:oMathPara>
        <m:oMath>
          <m:r>
            <m:t xml:space="preserve">SMA(N) = (P₁ + P₂ + ... + P_N) / N</m:t>
          </m:r>
        </m:oMath>
      </m:oMathPara>
    </w:p>
    <w:p>
      <w:pPr>
        <w:jc w:val="center"/>
      </w:pPr>
      <m:oMathPara>
        <m:oMath>
          <m:r>
            <m:t xml:space="preserve">EMA(N) = P_t × </m:t>
          </m:r>
        </m:oMath>
        <m:oMath>
          <m:f>
            <m:num>
              <m:r>
                <m:t xml:space="preserve">2</m:t>
              </m:r>
            </m:num>
            <m:den>
              <m:r>
                <m:t xml:space="preserve">N + 1</m:t>
              </m:r>
            </m:den>
          </m:f>
        </m:oMath>
        <m:oMath>
          <m:r>
            <m:t xml:space="preserve"> + EMA_{t−1} × </m:t>
          </m:r>
        </m:oMath>
        <m:oMath>
          <m:f>
            <m:num>
              <m:r>
                <m:t xml:space="preserve">N − 1</m:t>
              </m:r>
            </m:num>
            <m:den>
              <m:r>
                <m:t xml:space="preserve">N + 1</m:t>
              </m:r>
            </m:den>
          </m:f>
        </m:oMath>
      </m:oMathPara>
    </w:p>
    <w:p>
      <w:pPr>
        <w:spacing w:before="0" w:after="0" w:line="360" w:lineRule="auto"/>
        <w:ind w:firstLine="420"/>
        <w:jc w:val="both"/>
      </w:pPr>
      <w:r>
        <w:rPr>
          <w:rFonts w:eastAsia="宋体" w:ascii="宋体" w:hAnsi="宋体"/>
          <w:b w:val="0"/>
          <w:sz w:val="21"/>
        </w:rPr>
        <w:t>常用周期：5日（1周）、10日（2周）、20日（1月）、60日（1季度）、120日（半年）、250日（年线）。</w:t>
      </w:r>
    </w:p>
    <w:p>
      <w:pPr>
        <w:spacing w:before="160" w:after="80" w:line="360" w:lineRule="auto"/>
        <w:jc w:val="both"/>
      </w:pPr>
      <w:r>
        <w:rPr>
          <w:rFonts w:eastAsia="宋体" w:ascii="宋体" w:hAnsi="宋体"/>
          <w:b/>
          <w:sz w:val="24"/>
        </w:rPr>
        <w:t>2.6.3 信号含义</w:t>
      </w:r>
    </w:p>
    <w:p>
      <w:pPr>
        <w:spacing w:before="0" w:after="0" w:line="360" w:lineRule="auto"/>
        <w:ind w:firstLine="420"/>
        <w:jc w:val="both"/>
      </w:pPr>
      <w:r>
        <w:rPr>
          <w:rFonts w:eastAsia="宋体" w:ascii="宋体" w:hAnsi="宋体"/>
          <w:b w:val="0"/>
          <w:sz w:val="21"/>
        </w:rPr>
        <w:t>多头排列（MA5 &gt; MA10 &gt; MA20 &gt; MA60）：各时间尺度的平均持仓成本从短到长依次升高——所有时间框架的交易者（短期到长期）在当前价格下均处于盈利状态。不同时间尺度的市场参与者在此价格水平上形成了一致的方向共识。空头排列（MA5 &lt; MA10 &lt; MA20 &lt; MA60）：各时间尺度的平均持仓成本从短到长依次降低，市场整体的价格共识向下。</w:t>
        <w:br/>
        <w:br/>
        <w:t>短期MA上穿长期MA：近期参与者的持仓成本超过了较早参与者的成本——意味着市场愿意以更高的价格入场，短期方向共识从空转多。短期MA下穿长期MA：短期方向共识从多转空。</w:t>
        <w:br/>
        <w:br/>
        <w:t>多周期MA间距收敛（粘合）：不同时间尺度的平均持仓成本趋于一致。各时间框架的市场参与者对当前价格的共识高度集中。当多种时间尺度的参与者成本几乎相同时，任何方向的价格突破都会导致部分参与者开始盈利、另一部分开始亏损——这种结构的变化往往伴随趋势的启动。多周期MA间距发散：趋势正在加速。</w:t>
        <w:br/>
        <w:br/>
        <w:t>MA的核心假设是"价格趋势具有持续性"——趋势一旦形成倾向于延续。这一假设在趋势市中成立，但在震荡市中均线频繁缠绕交叉。年线（MA250）被广泛视为牛熊分界线——价格在年线上方运行时，过去一年内入场的投资者平均处于盈利状态。</w:t>
      </w:r>
    </w:p>
    <w:p>
      <w:pPr>
        <w:spacing w:before="160" w:after="80" w:line="360" w:lineRule="auto"/>
        <w:jc w:val="both"/>
      </w:pPr>
      <w:r>
        <w:rPr>
          <w:rFonts w:eastAsia="宋体" w:ascii="宋体" w:hAnsi="宋体"/>
          <w:b/>
          <w:sz w:val="24"/>
        </w:rPr>
        <w:t>2.7 商品通道指数（CCI）</w:t>
      </w:r>
    </w:p>
    <w:p>
      <w:pPr>
        <w:spacing w:before="160" w:after="80" w:line="360" w:lineRule="auto"/>
        <w:jc w:val="both"/>
      </w:pPr>
      <w:r>
        <w:rPr>
          <w:rFonts w:eastAsia="宋体" w:ascii="宋体" w:hAnsi="宋体"/>
          <w:b/>
          <w:sz w:val="24"/>
        </w:rPr>
        <w:t>2.7.1 历史演化</w:t>
      </w:r>
    </w:p>
    <w:p>
      <w:pPr>
        <w:spacing w:before="0" w:after="0" w:line="360" w:lineRule="auto"/>
        <w:ind w:firstLine="420"/>
        <w:jc w:val="both"/>
      </w:pPr>
      <w:r>
        <w:rPr>
          <w:rFonts w:eastAsia="宋体" w:ascii="宋体" w:hAnsi="宋体"/>
          <w:b w:val="0"/>
          <w:sz w:val="21"/>
        </w:rPr>
        <w:t>CCI由Donald Lambert于1980年在《Stocks &amp; Commodities》杂志上发表的《Commodity Channel Index: Tool for Trading Cyclic Trends》一文中提出。Lambert是期货交易员和技术分析师，CCI最初是为商品期货市场设计的——商品价格具有较强的周期性特征（如季节性的供需周期），Lambert希望量化价格在其周期性波动中的"异常偏离程度"。</w:t>
      </w:r>
    </w:p>
    <w:p>
      <w:pPr>
        <w:spacing w:before="0" w:after="0" w:line="360" w:lineRule="auto"/>
        <w:ind w:firstLine="420"/>
        <w:jc w:val="both"/>
      </w:pPr>
      <w:r>
        <w:rPr>
          <w:rFonts w:eastAsia="宋体" w:ascii="宋体" w:hAnsi="宋体"/>
          <w:b w:val="0"/>
          <w:sz w:val="21"/>
        </w:rPr>
        <w:t>Lambert在度量偏离时选择了平均绝对偏差（Mean Deviation）而非标准差。他的理由是：标准差的平方运算会导致极端值被不成比例地放大——一根极端K线足以显著拉高标准差，进而使CCI的偏离度量失真。平均绝对偏差使用绝对值而非平方，对极端值的敏感度较低，能更稳健地反映价格的"正常偏离程度"。</w:t>
      </w:r>
    </w:p>
    <w:p>
      <w:pPr>
        <w:spacing w:before="0" w:after="0" w:line="360" w:lineRule="auto"/>
        <w:ind w:firstLine="420"/>
        <w:jc w:val="both"/>
      </w:pPr>
      <w:r>
        <w:rPr>
          <w:rFonts w:eastAsia="宋体" w:ascii="宋体" w:hAnsi="宋体"/>
          <w:b w:val="0"/>
          <w:sz w:val="21"/>
        </w:rPr>
        <w:t>CCI公式中的常数0.015是Lambert通过历史回测选择的，目的是让约70–80%的CCI读数落在[−100, +100]区间内。这一常数没有统计学上的必然性——它是经验校准的结果。CCI虽名为"商品通道指数"，但其度量统计异常偏离的特性使得它在股票市场上同样适用。CCI的最大特点是**无界**——与RSI的[0, 100]不同，CCI理论值可以趋向任意大的正值或负值，因此在强趋势中不会像RSI那样钝化在极值区域。</w:t>
      </w:r>
    </w:p>
    <w:p>
      <w:pPr>
        <w:spacing w:before="160" w:after="80" w:line="360" w:lineRule="auto"/>
        <w:jc w:val="both"/>
      </w:pPr>
      <w:r>
        <w:rPr>
          <w:rFonts w:eastAsia="宋体" w:ascii="宋体" w:hAnsi="宋体"/>
          <w:b/>
          <w:sz w:val="24"/>
        </w:rPr>
        <w:t>2.7.2 计算公式与参数</w:t>
      </w:r>
    </w:p>
    <w:p>
      <w:pPr>
        <w:jc w:val="center"/>
      </w:pPr>
      <m:oMathPara>
        <m:oMath>
          <m:r>
            <m:t xml:space="preserve">TP = (High + Low + Close) / 3</m:t>
          </m:r>
        </m:oMath>
      </m:oMathPara>
    </w:p>
    <w:p>
      <w:pPr>
        <w:jc w:val="center"/>
      </w:pPr>
      <m:oMathPara>
        <m:oMath>
          <m:r>
            <m:t xml:space="preserve">CCI = (TP − SMA(TP, N)) / (0.015 × MD)</m:t>
          </m:r>
        </m:oMath>
      </m:oMathPara>
    </w:p>
    <w:p>
      <w:pPr>
        <w:jc w:val="center"/>
      </w:pPr>
      <m:oMathPara>
        <m:oMath>
          <m:r>
            <m:t xml:space="preserve">MD = Mean(|TP − SMA(TP, N)|)  (平均绝对偏差)</m:t>
          </m:r>
        </m:oMath>
      </m:oMathPara>
    </w:p>
    <w:p>
      <w:pPr>
        <w:spacing w:before="0" w:after="0" w:line="360" w:lineRule="auto"/>
        <w:ind w:firstLine="420"/>
        <w:jc w:val="both"/>
      </w:pPr>
      <w:r>
        <w:rPr>
          <w:rFonts w:eastAsia="宋体" w:ascii="宋体" w:hAnsi="宋体"/>
          <w:b w:val="0"/>
          <w:sz w:val="21"/>
        </w:rPr>
        <w:t>常数 0.015 为 Lambert 经验校准值，使 70–80% 读数落在 [−100, +100]。默认参数：N = 20。</w:t>
      </w:r>
    </w:p>
    <w:p>
      <w:pPr>
        <w:spacing w:before="160" w:after="80" w:line="360" w:lineRule="auto"/>
        <w:jc w:val="both"/>
      </w:pPr>
      <w:r>
        <w:rPr>
          <w:rFonts w:eastAsia="宋体" w:ascii="宋体" w:hAnsi="宋体"/>
          <w:b/>
          <w:sz w:val="24"/>
        </w:rPr>
        <w:t>2.7.3 信号含义</w:t>
      </w:r>
    </w:p>
    <w:p>
      <w:pPr>
        <w:spacing w:before="0" w:after="0" w:line="360" w:lineRule="auto"/>
        <w:ind w:firstLine="420"/>
        <w:jc w:val="both"/>
      </w:pPr>
      <w:r>
        <w:rPr>
          <w:rFonts w:eastAsia="宋体" w:ascii="宋体" w:hAnsi="宋体"/>
          <w:b w:val="0"/>
          <w:sz w:val="21"/>
        </w:rPr>
        <w:t>CCI &gt; +100：典型价格（TP）高于其20期均值超过1.5倍的平均绝对偏差——当前TP偏离其近期均值的幅度已超过正常波动范围，处于统计强势区域。CCI &lt; −100：TP处于统计弱势区域。</w:t>
        <w:br/>
        <w:br/>
        <w:t>CCI &gt; +200：TP偏离均值超过3倍的平均绝对偏差。在当前波动率水平下，这种幅度的正向偏离属于罕见事件。CCI &lt; −200：同等程度的极端负偏离。</w:t>
        <w:br/>
        <w:br/>
        <w:t>CCI从下方突破+100：TP从正常波动范围进入统计强势区域。CCI从上方跌破+100：TP从强势区域回归正常波动范围，统计显著性降低。</w:t>
        <w:br/>
        <w:br/>
        <w:t>CCI的最大特征是无界——与RSI[0,100]不同，CCI理论上可以趋向任意大的正值或负值。这使得CCI在强趋势中不会像RSI那样钝化在极值区域：当RSI已经在85附近失去辨别力时，CCI可能已经到了+300，继续度量趋势的"极端程度"。但CCI的无界性也意味着它不提供固定的超买超卖阈值——不同品种的CCI的正常波动范围可能不同。</w:t>
      </w:r>
    </w:p>
    <w:p>
      <w:pPr>
        <w:spacing w:before="160" w:after="80" w:line="360" w:lineRule="auto"/>
        <w:jc w:val="both"/>
      </w:pPr>
      <w:r>
        <w:rPr>
          <w:rFonts w:eastAsia="宋体" w:ascii="宋体" w:hAnsi="宋体"/>
          <w:b/>
          <w:sz w:val="24"/>
        </w:rPr>
        <w:t>2.8 平均趋向指数（ADX）</w:t>
      </w:r>
    </w:p>
    <w:p>
      <w:pPr>
        <w:spacing w:before="160" w:after="80" w:line="360" w:lineRule="auto"/>
        <w:jc w:val="both"/>
      </w:pPr>
      <w:r>
        <w:rPr>
          <w:rFonts w:eastAsia="宋体" w:ascii="宋体" w:hAnsi="宋体"/>
          <w:b/>
          <w:sz w:val="24"/>
        </w:rPr>
        <w:t>2.8.1 历史演化</w:t>
      </w:r>
    </w:p>
    <w:p>
      <w:pPr>
        <w:spacing w:before="0" w:after="0" w:line="360" w:lineRule="auto"/>
        <w:ind w:firstLine="420"/>
        <w:jc w:val="both"/>
      </w:pPr>
      <w:r>
        <w:rPr>
          <w:rFonts w:eastAsia="宋体" w:ascii="宋体" w:hAnsi="宋体"/>
          <w:b w:val="0"/>
          <w:sz w:val="21"/>
        </w:rPr>
        <w:t>ADX由J. Welles Wilder Jr.于1978年与RSI和ATR一同提出，是Wilder"趋向运动系统"（Directional Movement System, DMS）的核心组成部分。Wilder可能是第一个将"趋势是否存在"作为一个可量化问题来研究的人。</w:t>
      </w:r>
    </w:p>
    <w:p>
      <w:pPr>
        <w:spacing w:before="0" w:after="0" w:line="360" w:lineRule="auto"/>
        <w:ind w:firstLine="420"/>
        <w:jc w:val="both"/>
      </w:pPr>
      <w:r>
        <w:rPr>
          <w:rFonts w:eastAsia="宋体" w:ascii="宋体" w:hAnsi="宋体"/>
          <w:b w:val="0"/>
          <w:sz w:val="21"/>
        </w:rPr>
        <w:t>ADX最大的概念创新在于：它将"方向"（价格上涨还是下跌）和"趋势强度"（无论方向如何，价格是否在朝一个方向持续运动）进行了彻底的分离。+DI（正向趋向指标）度量向上的方向运动力度，−DI（负向趋向指标）度量向下的方向运动力度，而ADX度量的是趋向运动的总体强度——不区分向上还是向下。</w:t>
      </w:r>
    </w:p>
    <w:p>
      <w:pPr>
        <w:spacing w:before="0" w:after="0" w:line="360" w:lineRule="auto"/>
        <w:ind w:firstLine="420"/>
        <w:jc w:val="both"/>
      </w:pPr>
      <w:r>
        <w:rPr>
          <w:rFonts w:eastAsia="宋体" w:ascii="宋体" w:hAnsi="宋体"/>
          <w:b w:val="0"/>
          <w:sz w:val="21"/>
        </w:rPr>
        <w:t>这一分离意味着ADX可以回答一个此前未被系统回答的问题："当前市场是否适合使用趋势跟踪策略？"——当ADX&lt;20时，无论±DI如何交叉，趋势跟踪策略的统计表现都会下降，因为市场处于无方向的震荡状态。ADX的计算涉及多个步骤：先计算真实波幅（ATR）和趋向运动（±DM），再计算趋向指标（±DI=Wilder(±DM, N)/ATR×100），然后求方向运动指数（DX=|+DI−-DI|/(+DI+-DI)×100），最后通过Wilder平滑得到ADX。多层平滑使得ADX成为一个延迟确认指标——这既是其可靠性来源（不容易被单日噪音误导），也是其局限（趋势可能已被确认时已运行了一段距离）。</w:t>
      </w:r>
    </w:p>
    <w:p>
      <w:pPr>
        <w:spacing w:before="160" w:after="80" w:line="360" w:lineRule="auto"/>
        <w:jc w:val="both"/>
      </w:pPr>
      <w:r>
        <w:rPr>
          <w:rFonts w:eastAsia="宋体" w:ascii="宋体" w:hAnsi="宋体"/>
          <w:b/>
          <w:sz w:val="24"/>
        </w:rPr>
        <w:t>2.8.2 计算公式与参数</w:t>
      </w:r>
    </w:p>
    <w:p>
      <w:pPr>
        <w:jc w:val="center"/>
      </w:pPr>
      <m:oMathPara>
        <m:oMath>
          <m:r>
            <m:t xml:space="preserve">+DM = max(High_t − High_{t−1}, 0)</m:t>
          </m:r>
        </m:oMath>
      </m:oMathPara>
    </w:p>
    <w:p>
      <w:pPr>
        <w:jc w:val="center"/>
      </w:pPr>
      <m:oMathPara>
        <m:oMath>
          <m:r>
            <m:t xml:space="preserve">−DM = max(Low_{t−1} − Low_t, 0)</m:t>
          </m:r>
        </m:oMath>
      </m:oMathPara>
    </w:p>
    <w:p>
      <w:pPr>
        <w:jc w:val="center"/>
      </w:pPr>
      <m:oMathPara>
        <m:oMath>
          <m:r>
            <m:t xml:space="preserve">+DI = WilderSmooth(+DM, N) / ATR × 100</m:t>
          </m:r>
        </m:oMath>
      </m:oMathPara>
    </w:p>
    <w:p>
      <w:pPr>
        <w:jc w:val="center"/>
      </w:pPr>
      <m:oMathPara>
        <m:oMath>
          <m:r>
            <m:t xml:space="preserve">−DI = WilderSmooth(−DM, N) / ATR × 100</m:t>
          </m:r>
        </m:oMath>
      </m:oMathPara>
    </w:p>
    <w:p>
      <w:pPr>
        <w:jc w:val="center"/>
      </w:pPr>
      <m:oMathPara>
        <m:oMath>
          <m:r>
            <m:t xml:space="preserve">DX = |+DI − −DI| / (+DI + −DI) × 100</m:t>
          </m:r>
        </m:oMath>
      </m:oMathPara>
    </w:p>
    <w:p>
      <w:pPr>
        <w:jc w:val="center"/>
      </w:pPr>
      <m:oMathPara>
        <m:oMath>
          <m:r>
            <m:t xml:space="preserve">ADX = WilderSmooth(DX, N)</m:t>
          </m:r>
        </m:oMath>
      </m:oMathPara>
    </w:p>
    <w:p>
      <w:pPr>
        <w:spacing w:before="0" w:after="0" w:line="360" w:lineRule="auto"/>
        <w:ind w:firstLine="420"/>
        <w:jc w:val="both"/>
      </w:pPr>
      <w:r>
        <w:rPr>
          <w:rFonts w:eastAsia="宋体" w:ascii="宋体" w:hAnsi="宋体"/>
          <w:b w:val="0"/>
          <w:sz w:val="21"/>
        </w:rPr>
        <w:t>Wilder 平滑用于 +DI/−DI/DX/ADX 各层。默认参数：N = 14。</w:t>
      </w:r>
    </w:p>
    <w:p>
      <w:pPr>
        <w:spacing w:before="160" w:after="80" w:line="360" w:lineRule="auto"/>
        <w:jc w:val="both"/>
      </w:pPr>
      <w:r>
        <w:rPr>
          <w:rFonts w:eastAsia="宋体" w:ascii="宋体" w:hAnsi="宋体"/>
          <w:b/>
          <w:sz w:val="24"/>
        </w:rPr>
        <w:t>2.8.3 信号含义</w:t>
      </w:r>
    </w:p>
    <w:p>
      <w:pPr>
        <w:spacing w:before="0" w:after="0" w:line="360" w:lineRule="auto"/>
        <w:ind w:firstLine="420"/>
        <w:jc w:val="both"/>
      </w:pPr>
      <w:r>
        <w:rPr>
          <w:rFonts w:eastAsia="宋体" w:ascii="宋体" w:hAnsi="宋体"/>
          <w:b w:val="0"/>
          <w:sz w:val="21"/>
        </w:rPr>
        <w:t>ADX &gt; 25：过去14日的趋向运动强度经过平滑后处于中等偏上水平。市场存在可识别的方向性运动——价格在朝某个方向持续运动，而非在区间内来回摆动。ADX &gt; 40：趋向运动强度处于高位，市场正在经历强趋势。ADX &lt; 20：趋向运动强度不足，±DI的差值相对于它们的总和较小，多空方向力量交替占优。市场缺乏持续的方向性驱动力。</w:t>
        <w:br/>
        <w:br/>
        <w:t>ADX从&lt;20向上突破25：趋向运动强度从低位进入中等水平。市场的方向性从"不可识别"变为"可识别"——某种方向的力量正在从震荡中浮现并建立持续性。ADX从高位（&gt;40）回落：趋势强度正在减弱。这不直接等于趋势反转——可能是趋势暂停（横盘整理后继续原方向）或趋势逆转的前奏。</w:t>
        <w:br/>
        <w:br/>
        <w:t>+DI &gt; −DI且ADX &gt; 25：在可识别的趋势中，向上力量高于向下力量。−DI &gt; +DI且ADX &gt; 25：向下力量高于向上力量。+DI上穿−DI：方向的主导权从空方转移到多方。如果此时ADX较低（&lt;20），这一交叉可能短暂且不可靠。</w:t>
        <w:br/>
        <w:br/>
        <w:t>ADX是一个延迟确认指标——当前的ADX值反映的是过去N期平均的趋势强度，当ADX确认趋势存在时，趋势可能已运行了一段时间。它解决的核心问题是"趋势是否存在"，最适用于帮助判断当前市场更适合趋势策略还是震荡策略。</w:t>
      </w:r>
    </w:p>
    <w:p>
      <w:r>
        <w:br w:type="page"/>
      </w:r>
    </w:p>
    <w:p>
      <w:pPr>
        <w:spacing w:before="240" w:after="120" w:line="360" w:lineRule="auto"/>
        <w:jc w:val="both"/>
      </w:pPr>
      <w:r>
        <w:rPr>
          <w:rFonts w:eastAsia="宋体" w:ascii="宋体" w:hAnsi="宋体"/>
          <w:b/>
          <w:sz w:val="28"/>
        </w:rPr>
        <w:t>三、指标互补关系分析</w:t>
      </w:r>
    </w:p>
    <w:p>
      <w:pPr>
        <w:spacing w:before="0" w:after="0" w:line="360" w:lineRule="auto"/>
        <w:ind w:firstLine="420"/>
        <w:jc w:val="both"/>
      </w:pPr>
      <w:r>
        <w:rPr>
          <w:rFonts w:eastAsia="宋体" w:ascii="宋体" w:hAnsi="宋体"/>
          <w:b w:val="0"/>
          <w:sz w:val="21"/>
        </w:rPr>
        <w:t>八个技术指标从不同的数据源和数学变换出发，度量市场的不同维度。单独使用任何一个指标都存在局限性——每个指标有其特定的适用条件和失效场景。将多个指标按观察维度进行分组，有助于理解指标之间的信息重叠和互补关系。</w:t>
      </w:r>
    </w:p>
    <w:p>
      <w:pPr>
        <w:spacing w:before="160" w:after="80" w:line="360" w:lineRule="auto"/>
        <w:jc w:val="both"/>
      </w:pPr>
      <w:r>
        <w:rPr>
          <w:rFonts w:eastAsia="宋体" w:ascii="宋体" w:hAnsi="宋体"/>
          <w:b/>
          <w:sz w:val="24"/>
        </w:rPr>
        <w:t>3.1 指标维度分类</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D9D9D9"/>
          </w:tcPr>
          <w:p>
            <w:pPr>
              <w:jc w:val="center"/>
            </w:pPr>
            <w:r/>
            <w:r>
              <w:rPr>
                <w:rFonts w:eastAsia="宋体" w:ascii="宋体" w:hAnsi="宋体"/>
                <w:b/>
                <w:sz w:val="18"/>
              </w:rPr>
              <w:t>观察维度</w:t>
            </w:r>
          </w:p>
        </w:tc>
        <w:tc>
          <w:tcPr>
            <w:tcW w:type="dxa" w:w="2158"/>
            <w:shd w:fill="D9D9D9"/>
          </w:tcPr>
          <w:p>
            <w:pPr>
              <w:jc w:val="center"/>
            </w:pPr>
            <w:r/>
            <w:r>
              <w:rPr>
                <w:rFonts w:eastAsia="宋体" w:ascii="宋体" w:hAnsi="宋体"/>
                <w:b/>
                <w:sz w:val="18"/>
              </w:rPr>
              <w:t>回答的问题</w:t>
            </w:r>
          </w:p>
        </w:tc>
        <w:tc>
          <w:tcPr>
            <w:tcW w:type="dxa" w:w="2158"/>
            <w:shd w:fill="D9D9D9"/>
          </w:tcPr>
          <w:p>
            <w:pPr>
              <w:jc w:val="center"/>
            </w:pPr>
            <w:r/>
            <w:r>
              <w:rPr>
                <w:rFonts w:eastAsia="宋体" w:ascii="宋体" w:hAnsi="宋体"/>
                <w:b/>
                <w:sz w:val="18"/>
              </w:rPr>
              <w:t>核心指标</w:t>
            </w:r>
          </w:p>
        </w:tc>
        <w:tc>
          <w:tcPr>
            <w:tcW w:type="dxa" w:w="2158"/>
            <w:shd w:fill="D9D9D9"/>
          </w:tcPr>
          <w:p>
            <w:pPr>
              <w:jc w:val="center"/>
            </w:pPr>
            <w:r/>
            <w:r>
              <w:rPr>
                <w:rFonts w:eastAsia="宋体" w:ascii="宋体" w:hAnsi="宋体"/>
                <w:b/>
                <w:sz w:val="18"/>
              </w:rPr>
              <w:t>辅助指标</w:t>
            </w:r>
          </w:p>
        </w:tc>
      </w:tr>
      <w:tr>
        <w:tc>
          <w:tcPr>
            <w:tcW w:type="dxa" w:w="2158"/>
          </w:tcPr>
          <w:p>
            <w:pPr>
              <w:jc w:val="center"/>
            </w:pPr>
            <w:r/>
            <w:r>
              <w:rPr>
                <w:rFonts w:eastAsia="宋体" w:ascii="宋体" w:hAnsi="宋体"/>
                <w:sz w:val="18"/>
              </w:rPr>
              <w:t>趋势方向</w:t>
            </w:r>
          </w:p>
        </w:tc>
        <w:tc>
          <w:tcPr>
            <w:tcW w:type="dxa" w:w="2158"/>
          </w:tcPr>
          <w:p>
            <w:pPr>
              <w:jc w:val="center"/>
            </w:pPr>
            <w:r/>
            <w:r>
              <w:rPr>
                <w:rFonts w:eastAsia="宋体" w:ascii="宋体" w:hAnsi="宋体"/>
                <w:sz w:val="18"/>
              </w:rPr>
              <w:t>价格重心在向哪个方向移动？</w:t>
            </w:r>
          </w:p>
        </w:tc>
        <w:tc>
          <w:tcPr>
            <w:tcW w:type="dxa" w:w="2158"/>
          </w:tcPr>
          <w:p>
            <w:pPr>
              <w:jc w:val="center"/>
            </w:pPr>
            <w:r/>
            <w:r>
              <w:rPr>
                <w:rFonts w:eastAsia="宋体" w:ascii="宋体" w:hAnsi="宋体"/>
                <w:sz w:val="18"/>
              </w:rPr>
              <w:t>MA排列、MACD(DIF正负)</w:t>
            </w:r>
          </w:p>
        </w:tc>
        <w:tc>
          <w:tcPr>
            <w:tcW w:type="dxa" w:w="2158"/>
          </w:tcPr>
          <w:p>
            <w:pPr>
              <w:jc w:val="center"/>
            </w:pPr>
            <w:r/>
            <w:r>
              <w:rPr>
                <w:rFonts w:eastAsia="宋体" w:ascii="宋体" w:hAnsi="宋体"/>
                <w:sz w:val="18"/>
              </w:rPr>
              <w:t>布林带(中轨斜率)</w:t>
            </w:r>
          </w:p>
        </w:tc>
      </w:tr>
      <w:tr>
        <w:tc>
          <w:tcPr>
            <w:tcW w:type="dxa" w:w="2158"/>
          </w:tcPr>
          <w:p>
            <w:pPr>
              <w:jc w:val="center"/>
            </w:pPr>
            <w:r/>
            <w:r>
              <w:rPr>
                <w:rFonts w:eastAsia="宋体" w:ascii="宋体" w:hAnsi="宋体"/>
                <w:sz w:val="18"/>
              </w:rPr>
              <w:t>趋势强度</w:t>
            </w:r>
          </w:p>
        </w:tc>
        <w:tc>
          <w:tcPr>
            <w:tcW w:type="dxa" w:w="2158"/>
          </w:tcPr>
          <w:p>
            <w:pPr>
              <w:jc w:val="center"/>
            </w:pPr>
            <w:r/>
            <w:r>
              <w:rPr>
                <w:rFonts w:eastAsia="宋体" w:ascii="宋体" w:hAnsi="宋体"/>
                <w:sz w:val="18"/>
              </w:rPr>
              <w:t>方向性运动有多强？</w:t>
            </w:r>
          </w:p>
        </w:tc>
        <w:tc>
          <w:tcPr>
            <w:tcW w:type="dxa" w:w="2158"/>
          </w:tcPr>
          <w:p>
            <w:pPr>
              <w:jc w:val="center"/>
            </w:pPr>
            <w:r/>
            <w:r>
              <w:rPr>
                <w:rFonts w:eastAsia="宋体" w:ascii="宋体" w:hAnsi="宋体"/>
                <w:sz w:val="18"/>
              </w:rPr>
              <w:t>ADX</w:t>
            </w:r>
          </w:p>
        </w:tc>
        <w:tc>
          <w:tcPr>
            <w:tcW w:type="dxa" w:w="2158"/>
          </w:tcPr>
          <w:p>
            <w:pPr>
              <w:jc w:val="center"/>
            </w:pPr>
            <w:r/>
            <w:r>
              <w:rPr>
                <w:rFonts w:eastAsia="宋体" w:ascii="宋体" w:hAnsi="宋体"/>
                <w:sz w:val="18"/>
              </w:rPr>
              <w:t>MACD(BAR柱大小)</w:t>
            </w:r>
          </w:p>
        </w:tc>
      </w:tr>
      <w:tr>
        <w:tc>
          <w:tcPr>
            <w:tcW w:type="dxa" w:w="2158"/>
          </w:tcPr>
          <w:p>
            <w:pPr>
              <w:jc w:val="center"/>
            </w:pPr>
            <w:r/>
            <w:r>
              <w:rPr>
                <w:rFonts w:eastAsia="宋体" w:ascii="宋体" w:hAnsi="宋体"/>
                <w:sz w:val="18"/>
              </w:rPr>
              <w:t>动量/速度</w:t>
            </w:r>
          </w:p>
        </w:tc>
        <w:tc>
          <w:tcPr>
            <w:tcW w:type="dxa" w:w="2158"/>
          </w:tcPr>
          <w:p>
            <w:pPr>
              <w:jc w:val="center"/>
            </w:pPr>
            <w:r/>
            <w:r>
              <w:rPr>
                <w:rFonts w:eastAsia="宋体" w:ascii="宋体" w:hAnsi="宋体"/>
                <w:sz w:val="18"/>
              </w:rPr>
              <w:t>涨跌的力有多大？</w:t>
            </w:r>
          </w:p>
        </w:tc>
        <w:tc>
          <w:tcPr>
            <w:tcW w:type="dxa" w:w="2158"/>
          </w:tcPr>
          <w:p>
            <w:pPr>
              <w:jc w:val="center"/>
            </w:pPr>
            <w:r/>
            <w:r>
              <w:rPr>
                <w:rFonts w:eastAsia="宋体" w:ascii="宋体" w:hAnsi="宋体"/>
                <w:sz w:val="18"/>
              </w:rPr>
              <w:t>RSI(涨跌力量比)</w:t>
            </w:r>
          </w:p>
        </w:tc>
        <w:tc>
          <w:tcPr>
            <w:tcW w:type="dxa" w:w="2158"/>
          </w:tcPr>
          <w:p>
            <w:pPr>
              <w:jc w:val="center"/>
            </w:pPr>
            <w:r/>
            <w:r>
              <w:rPr>
                <w:rFonts w:eastAsia="宋体" w:ascii="宋体" w:hAnsi="宋体"/>
                <w:sz w:val="18"/>
              </w:rPr>
              <w:t>KDJ(收盘价位置变化速度)</w:t>
            </w:r>
          </w:p>
        </w:tc>
      </w:tr>
      <w:tr>
        <w:tc>
          <w:tcPr>
            <w:tcW w:type="dxa" w:w="2158"/>
          </w:tcPr>
          <w:p>
            <w:pPr>
              <w:jc w:val="center"/>
            </w:pPr>
            <w:r/>
            <w:r>
              <w:rPr>
                <w:rFonts w:eastAsia="宋体" w:ascii="宋体" w:hAnsi="宋体"/>
                <w:sz w:val="18"/>
              </w:rPr>
              <w:t>波动烈度</w:t>
            </w:r>
          </w:p>
        </w:tc>
        <w:tc>
          <w:tcPr>
            <w:tcW w:type="dxa" w:w="2158"/>
          </w:tcPr>
          <w:p>
            <w:pPr>
              <w:jc w:val="center"/>
            </w:pPr>
            <w:r/>
            <w:r>
              <w:rPr>
                <w:rFonts w:eastAsia="宋体" w:ascii="宋体" w:hAnsi="宋体"/>
                <w:sz w:val="18"/>
              </w:rPr>
              <w:t>价格波动有多大？</w:t>
            </w:r>
          </w:p>
        </w:tc>
        <w:tc>
          <w:tcPr>
            <w:tcW w:type="dxa" w:w="2158"/>
          </w:tcPr>
          <w:p>
            <w:pPr>
              <w:jc w:val="center"/>
            </w:pPr>
            <w:r/>
            <w:r>
              <w:rPr>
                <w:rFonts w:eastAsia="宋体" w:ascii="宋体" w:hAnsi="宋体"/>
                <w:sz w:val="18"/>
              </w:rPr>
              <w:t>ATR</w:t>
            </w:r>
          </w:p>
        </w:tc>
        <w:tc>
          <w:tcPr>
            <w:tcW w:type="dxa" w:w="2158"/>
          </w:tcPr>
          <w:p>
            <w:pPr>
              <w:jc w:val="center"/>
            </w:pPr>
            <w:r/>
            <w:r>
              <w:rPr>
                <w:rFonts w:eastAsia="宋体" w:ascii="宋体" w:hAnsi="宋体"/>
                <w:sz w:val="18"/>
              </w:rPr>
              <w:t>布林带(带宽)</w:t>
            </w:r>
          </w:p>
        </w:tc>
      </w:tr>
      <w:tr>
        <w:tc>
          <w:tcPr>
            <w:tcW w:type="dxa" w:w="2158"/>
          </w:tcPr>
          <w:p>
            <w:pPr>
              <w:jc w:val="center"/>
            </w:pPr>
            <w:r/>
            <w:r>
              <w:rPr>
                <w:rFonts w:eastAsia="宋体" w:ascii="宋体" w:hAnsi="宋体"/>
                <w:sz w:val="18"/>
              </w:rPr>
              <w:t>极端位置</w:t>
            </w:r>
          </w:p>
        </w:tc>
        <w:tc>
          <w:tcPr>
            <w:tcW w:type="dxa" w:w="2158"/>
          </w:tcPr>
          <w:p>
            <w:pPr>
              <w:jc w:val="center"/>
            </w:pPr>
            <w:r/>
            <w:r>
              <w:rPr>
                <w:rFonts w:eastAsia="宋体" w:ascii="宋体" w:hAnsi="宋体"/>
                <w:sz w:val="18"/>
              </w:rPr>
              <w:t>价格是否处于统计边缘？</w:t>
            </w:r>
          </w:p>
        </w:tc>
        <w:tc>
          <w:tcPr>
            <w:tcW w:type="dxa" w:w="2158"/>
          </w:tcPr>
          <w:p>
            <w:pPr>
              <w:jc w:val="center"/>
            </w:pPr>
            <w:r/>
            <w:r>
              <w:rPr>
                <w:rFonts w:eastAsia="宋体" w:ascii="宋体" w:hAnsi="宋体"/>
                <w:sz w:val="18"/>
              </w:rPr>
              <w:t>布林带(%b, 轨道)</w:t>
            </w:r>
          </w:p>
        </w:tc>
        <w:tc>
          <w:tcPr>
            <w:tcW w:type="dxa" w:w="2158"/>
          </w:tcPr>
          <w:p>
            <w:pPr>
              <w:jc w:val="center"/>
            </w:pPr>
            <w:r/>
            <w:r>
              <w:rPr>
                <w:rFonts w:eastAsia="宋体" w:ascii="宋体" w:hAnsi="宋体"/>
                <w:sz w:val="18"/>
              </w:rPr>
              <w:t>CCI(±100/200)</w:t>
            </w:r>
          </w:p>
        </w:tc>
      </w:tr>
      <w:tr>
        <w:tc>
          <w:tcPr>
            <w:tcW w:type="dxa" w:w="2158"/>
          </w:tcPr>
          <w:p>
            <w:pPr>
              <w:jc w:val="center"/>
            </w:pPr>
            <w:r/>
            <w:r>
              <w:rPr>
                <w:rFonts w:eastAsia="宋体" w:ascii="宋体" w:hAnsi="宋体"/>
                <w:sz w:val="18"/>
              </w:rPr>
              <w:t>短期拐点</w:t>
            </w:r>
          </w:p>
        </w:tc>
        <w:tc>
          <w:tcPr>
            <w:tcW w:type="dxa" w:w="2158"/>
          </w:tcPr>
          <w:p>
            <w:pPr>
              <w:jc w:val="center"/>
            </w:pPr>
            <w:r/>
            <w:r>
              <w:rPr>
                <w:rFonts w:eastAsia="宋体" w:ascii="宋体" w:hAnsi="宋体"/>
                <w:sz w:val="18"/>
              </w:rPr>
              <w:t>动量即将减速还是加速？</w:t>
            </w:r>
          </w:p>
        </w:tc>
        <w:tc>
          <w:tcPr>
            <w:tcW w:type="dxa" w:w="2158"/>
          </w:tcPr>
          <w:p>
            <w:pPr>
              <w:jc w:val="center"/>
            </w:pPr>
            <w:r/>
            <w:r>
              <w:rPr>
                <w:rFonts w:eastAsia="宋体" w:ascii="宋体" w:hAnsi="宋体"/>
                <w:sz w:val="18"/>
              </w:rPr>
              <w:t>KDJ(K/D/J交叉)</w:t>
            </w:r>
          </w:p>
        </w:tc>
        <w:tc>
          <w:tcPr>
            <w:tcW w:type="dxa" w:w="2158"/>
          </w:tcPr>
          <w:p>
            <w:pPr>
              <w:jc w:val="center"/>
            </w:pPr>
            <w:r/>
            <w:r>
              <w:rPr>
                <w:rFonts w:eastAsia="宋体" w:ascii="宋体" w:hAnsi="宋体"/>
                <w:sz w:val="18"/>
              </w:rPr>
              <w:t>MACD(BAR缩短)、CCI(±100穿越)</w:t>
            </w:r>
          </w:p>
        </w:tc>
      </w:tr>
    </w:tbl>
    <w:p/>
    <w:p>
      <w:pPr>
        <w:spacing w:before="160" w:after="80" w:line="360" w:lineRule="auto"/>
        <w:jc w:val="both"/>
      </w:pPr>
      <w:r>
        <w:rPr>
          <w:rFonts w:eastAsia="宋体" w:ascii="宋体" w:hAnsi="宋体"/>
          <w:b/>
          <w:sz w:val="24"/>
        </w:rPr>
        <w:t>3.2 不同市场状态下的有效指标组合</w:t>
      </w:r>
    </w:p>
    <w:p>
      <w:pPr>
        <w:spacing w:before="0" w:after="0" w:line="360" w:lineRule="auto"/>
        <w:ind w:firstLine="420"/>
        <w:jc w:val="both"/>
      </w:pPr>
      <w:r>
        <w:rPr>
          <w:rFonts w:eastAsia="宋体" w:ascii="宋体" w:hAnsi="宋体"/>
          <w:b w:val="0"/>
          <w:sz w:val="21"/>
        </w:rPr>
        <w:t>震荡市（ADX&lt;20，布林带宽窄）：价格在一定区间内来回运动，无单边趋势。此时最有效的信息维度是极端位置和短期动量拐点——识别价格何时接近区间边界以及动量何时开始向反方向偏移。RSI的30/70区域信号、KDJ的20/80交叉信号、布林带的轨道触碰信号在此类市场中提供的信息量最大。MACD在震荡市中的金叉死叉假信号率高，因为快慢EMA反复小幅交叉。</w:t>
      </w:r>
    </w:p>
    <w:p>
      <w:pPr>
        <w:spacing w:before="0" w:after="0" w:line="360" w:lineRule="auto"/>
        <w:ind w:firstLine="420"/>
        <w:jc w:val="both"/>
      </w:pPr>
      <w:r>
        <w:rPr>
          <w:rFonts w:eastAsia="宋体" w:ascii="宋体" w:hAnsi="宋体"/>
          <w:b w:val="0"/>
          <w:sz w:val="21"/>
        </w:rPr>
        <w:t>趋势市（ADX&gt;25，布林带宽扩）：价格朝一个方向持续运动。此时趋势方向和强度的度量最为关键，而超买超卖类指标（RSI、KDJ）会发生钝化，极端位置信号需要区分处理。MA排列（多头/空头）和斜率、MACD的DIF正负和BAR方向、ADX的强度读数、布林带中轨斜率在此类市场中提供的信息量最大。ATR的升降可用于判断趋势是否伴随真实波动——上涨+ATR放大意味着趋势有资金参与支撑。</w:t>
      </w:r>
    </w:p>
    <w:p>
      <w:pPr>
        <w:spacing w:before="160" w:after="80" w:line="360" w:lineRule="auto"/>
        <w:jc w:val="both"/>
      </w:pPr>
      <w:r>
        <w:rPr>
          <w:rFonts w:eastAsia="宋体" w:ascii="宋体" w:hAnsi="宋体"/>
          <w:b/>
          <w:sz w:val="24"/>
        </w:rPr>
        <w:t>3.3 指标互补矩阵</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D9D9D9"/>
          </w:tcPr>
          <w:p>
            <w:pPr>
              <w:jc w:val="center"/>
            </w:pPr>
            <w:r/>
            <w:r>
              <w:rPr>
                <w:rFonts w:eastAsia="宋体" w:ascii="宋体" w:hAnsi="宋体"/>
                <w:b/>
                <w:sz w:val="18"/>
              </w:rPr>
              <w:t>市场状态</w:t>
            </w:r>
          </w:p>
        </w:tc>
        <w:tc>
          <w:tcPr>
            <w:tcW w:type="dxa" w:w="2158"/>
            <w:shd w:fill="D9D9D9"/>
          </w:tcPr>
          <w:p>
            <w:pPr>
              <w:jc w:val="center"/>
            </w:pPr>
            <w:r/>
            <w:r>
              <w:rPr>
                <w:rFonts w:eastAsia="宋体" w:ascii="宋体" w:hAnsi="宋体"/>
                <w:b/>
                <w:sz w:val="18"/>
              </w:rPr>
              <w:t>主指标</w:t>
            </w:r>
          </w:p>
        </w:tc>
        <w:tc>
          <w:tcPr>
            <w:tcW w:type="dxa" w:w="2158"/>
            <w:shd w:fill="D9D9D9"/>
          </w:tcPr>
          <w:p>
            <w:pPr>
              <w:jc w:val="center"/>
            </w:pPr>
            <w:r/>
            <w:r>
              <w:rPr>
                <w:rFonts w:eastAsia="宋体" w:ascii="宋体" w:hAnsi="宋体"/>
                <w:b/>
                <w:sz w:val="18"/>
              </w:rPr>
              <w:t>辅助确认</w:t>
            </w:r>
          </w:p>
        </w:tc>
        <w:tc>
          <w:tcPr>
            <w:tcW w:type="dxa" w:w="2158"/>
            <w:shd w:fill="D9D9D9"/>
          </w:tcPr>
          <w:p>
            <w:pPr>
              <w:jc w:val="center"/>
            </w:pPr>
            <w:r/>
            <w:r>
              <w:rPr>
                <w:rFonts w:eastAsia="宋体" w:ascii="宋体" w:hAnsi="宋体"/>
                <w:b/>
                <w:sz w:val="18"/>
              </w:rPr>
              <w:t>指标关系</w:t>
            </w:r>
          </w:p>
        </w:tc>
      </w:tr>
      <w:tr>
        <w:tc>
          <w:tcPr>
            <w:tcW w:type="dxa" w:w="2158"/>
          </w:tcPr>
          <w:p>
            <w:pPr>
              <w:jc w:val="center"/>
            </w:pPr>
            <w:r/>
            <w:r>
              <w:rPr>
                <w:rFonts w:eastAsia="宋体" w:ascii="宋体" w:hAnsi="宋体"/>
                <w:sz w:val="18"/>
              </w:rPr>
              <w:t>ADX&lt;20 震荡</w:t>
            </w:r>
          </w:p>
        </w:tc>
        <w:tc>
          <w:tcPr>
            <w:tcW w:type="dxa" w:w="2158"/>
          </w:tcPr>
          <w:p>
            <w:pPr>
              <w:jc w:val="center"/>
            </w:pPr>
            <w:r/>
            <w:r>
              <w:rPr>
                <w:rFonts w:eastAsia="宋体" w:ascii="宋体" w:hAnsi="宋体"/>
                <w:sz w:val="18"/>
              </w:rPr>
              <w:t>RSI(14) + KDJ(9,3,3)</w:t>
            </w:r>
          </w:p>
        </w:tc>
        <w:tc>
          <w:tcPr>
            <w:tcW w:type="dxa" w:w="2158"/>
          </w:tcPr>
          <w:p>
            <w:pPr>
              <w:jc w:val="center"/>
            </w:pPr>
            <w:r/>
            <w:r>
              <w:rPr>
                <w:rFonts w:eastAsia="宋体" w:ascii="宋体" w:hAnsi="宋体"/>
                <w:sz w:val="18"/>
              </w:rPr>
              <w:t>布林带(20,2)上下轨</w:t>
            </w:r>
          </w:p>
        </w:tc>
        <w:tc>
          <w:tcPr>
            <w:tcW w:type="dxa" w:w="2158"/>
          </w:tcPr>
          <w:p>
            <w:pPr>
              <w:jc w:val="center"/>
            </w:pPr>
            <w:r/>
            <w:r>
              <w:rPr>
                <w:rFonts w:eastAsia="宋体" w:ascii="宋体" w:hAnsi="宋体"/>
                <w:sz w:val="18"/>
              </w:rPr>
              <w:t>超卖/超买共振确认</w:t>
            </w:r>
          </w:p>
        </w:tc>
      </w:tr>
      <w:tr>
        <w:tc>
          <w:tcPr>
            <w:tcW w:type="dxa" w:w="2158"/>
          </w:tcPr>
          <w:p>
            <w:pPr>
              <w:jc w:val="center"/>
            </w:pPr>
            <w:r/>
            <w:r>
              <w:rPr>
                <w:rFonts w:eastAsia="宋体" w:ascii="宋体" w:hAnsi="宋体"/>
                <w:sz w:val="18"/>
              </w:rPr>
              <w:t>ADX&gt;25 上升趋势</w:t>
            </w:r>
          </w:p>
        </w:tc>
        <w:tc>
          <w:tcPr>
            <w:tcW w:type="dxa" w:w="2158"/>
          </w:tcPr>
          <w:p>
            <w:pPr>
              <w:jc w:val="center"/>
            </w:pPr>
            <w:r/>
            <w:r>
              <w:rPr>
                <w:rFonts w:eastAsia="宋体" w:ascii="宋体" w:hAnsi="宋体"/>
                <w:sz w:val="18"/>
              </w:rPr>
              <w:t>MACD(12,26,9) + MA多头排列</w:t>
            </w:r>
          </w:p>
        </w:tc>
        <w:tc>
          <w:tcPr>
            <w:tcW w:type="dxa" w:w="2158"/>
          </w:tcPr>
          <w:p>
            <w:pPr>
              <w:jc w:val="center"/>
            </w:pPr>
            <w:r/>
            <w:r>
              <w:rPr>
                <w:rFonts w:eastAsia="宋体" w:ascii="宋体" w:hAnsi="宋体"/>
                <w:sz w:val="18"/>
              </w:rPr>
              <w:t>ATR(14)度量波动烈度</w:t>
            </w:r>
          </w:p>
        </w:tc>
        <w:tc>
          <w:tcPr>
            <w:tcW w:type="dxa" w:w="2158"/>
          </w:tcPr>
          <w:p>
            <w:pPr>
              <w:jc w:val="center"/>
            </w:pPr>
            <w:r/>
            <w:r>
              <w:rPr>
                <w:rFonts w:eastAsia="宋体" w:ascii="宋体" w:hAnsi="宋体"/>
                <w:sz w:val="18"/>
              </w:rPr>
              <w:t>方向+力度+波动率同步</w:t>
            </w:r>
          </w:p>
        </w:tc>
      </w:tr>
      <w:tr>
        <w:tc>
          <w:tcPr>
            <w:tcW w:type="dxa" w:w="2158"/>
          </w:tcPr>
          <w:p>
            <w:pPr>
              <w:jc w:val="center"/>
            </w:pPr>
            <w:r/>
            <w:r>
              <w:rPr>
                <w:rFonts w:eastAsia="宋体" w:ascii="宋体" w:hAnsi="宋体"/>
                <w:sz w:val="18"/>
              </w:rPr>
              <w:t>ADX&gt;25 下降趋势</w:t>
            </w:r>
          </w:p>
        </w:tc>
        <w:tc>
          <w:tcPr>
            <w:tcW w:type="dxa" w:w="2158"/>
          </w:tcPr>
          <w:p>
            <w:pPr>
              <w:jc w:val="center"/>
            </w:pPr>
            <w:r/>
            <w:r>
              <w:rPr>
                <w:rFonts w:eastAsia="宋体" w:ascii="宋体" w:hAnsi="宋体"/>
                <w:sz w:val="18"/>
              </w:rPr>
              <w:t>MACD死叉 + MA空头排列</w:t>
            </w:r>
          </w:p>
        </w:tc>
        <w:tc>
          <w:tcPr>
            <w:tcW w:type="dxa" w:w="2158"/>
          </w:tcPr>
          <w:p>
            <w:pPr>
              <w:jc w:val="center"/>
            </w:pPr>
            <w:r/>
            <w:r>
              <w:rPr>
                <w:rFonts w:eastAsia="宋体" w:ascii="宋体" w:hAnsi="宋体"/>
                <w:sz w:val="18"/>
              </w:rPr>
              <w:t>ATR(14)度量波动烈度</w:t>
            </w:r>
          </w:p>
        </w:tc>
        <w:tc>
          <w:tcPr>
            <w:tcW w:type="dxa" w:w="2158"/>
          </w:tcPr>
          <w:p>
            <w:pPr>
              <w:jc w:val="center"/>
            </w:pPr>
            <w:r/>
            <w:r>
              <w:rPr>
                <w:rFonts w:eastAsia="宋体" w:ascii="宋体" w:hAnsi="宋体"/>
                <w:sz w:val="18"/>
              </w:rPr>
              <w:t>方向+力度+波动率同步</w:t>
            </w:r>
          </w:p>
        </w:tc>
      </w:tr>
      <w:tr>
        <w:tc>
          <w:tcPr>
            <w:tcW w:type="dxa" w:w="2158"/>
          </w:tcPr>
          <w:p>
            <w:pPr>
              <w:jc w:val="center"/>
            </w:pPr>
            <w:r/>
            <w:r>
              <w:rPr>
                <w:rFonts w:eastAsia="宋体" w:ascii="宋体" w:hAnsi="宋体"/>
                <w:sz w:val="18"/>
              </w:rPr>
              <w:t>布林Squeeze</w:t>
            </w:r>
          </w:p>
        </w:tc>
        <w:tc>
          <w:tcPr>
            <w:tcW w:type="dxa" w:w="2158"/>
          </w:tcPr>
          <w:p>
            <w:pPr>
              <w:jc w:val="center"/>
            </w:pPr>
            <w:r/>
            <w:r>
              <w:rPr>
                <w:rFonts w:eastAsia="宋体" w:ascii="宋体" w:hAnsi="宋体"/>
                <w:sz w:val="18"/>
              </w:rPr>
              <w:t>布林带(20,2) + ADX(14)</w:t>
            </w:r>
          </w:p>
        </w:tc>
        <w:tc>
          <w:tcPr>
            <w:tcW w:type="dxa" w:w="2158"/>
          </w:tcPr>
          <w:p>
            <w:pPr>
              <w:jc w:val="center"/>
            </w:pPr>
            <w:r/>
            <w:r>
              <w:rPr>
                <w:rFonts w:eastAsia="宋体" w:ascii="宋体" w:hAnsi="宋体"/>
                <w:sz w:val="18"/>
              </w:rPr>
              <w:t>CCI(20)突破确认</w:t>
            </w:r>
          </w:p>
        </w:tc>
        <w:tc>
          <w:tcPr>
            <w:tcW w:type="dxa" w:w="2158"/>
          </w:tcPr>
          <w:p>
            <w:pPr>
              <w:jc w:val="center"/>
            </w:pPr>
            <w:r/>
            <w:r>
              <w:rPr>
                <w:rFonts w:eastAsia="宋体" w:ascii="宋体" w:hAnsi="宋体"/>
                <w:sz w:val="18"/>
              </w:rPr>
              <w:t>低波动→突破→趋势启动</w:t>
            </w:r>
          </w:p>
        </w:tc>
      </w:tr>
    </w:tbl>
    <w:p/>
    <w:p>
      <w:r>
        <w:br w:type="page"/>
      </w:r>
    </w:p>
    <w:p>
      <w:pPr>
        <w:spacing w:before="240" w:after="120" w:line="360" w:lineRule="auto"/>
        <w:jc w:val="both"/>
      </w:pPr>
      <w:r>
        <w:rPr>
          <w:rFonts w:eastAsia="宋体" w:ascii="宋体" w:hAnsi="宋体"/>
          <w:b/>
          <w:sz w:val="28"/>
        </w:rPr>
        <w:t>四、参数演化与图表分析</w:t>
      </w:r>
    </w:p>
    <w:p>
      <w:pPr>
        <w:spacing w:before="0" w:after="0" w:line="360" w:lineRule="auto"/>
        <w:ind w:firstLine="420"/>
        <w:jc w:val="both"/>
      </w:pPr>
      <w:r>
        <w:rPr>
          <w:rFonts w:eastAsia="宋体" w:ascii="宋体" w:hAnsi="宋体"/>
          <w:b w:val="0"/>
          <w:sz w:val="21"/>
        </w:rPr>
        <w:t>本章以贵州茅台（600519.SH）的日线数据为基础，通过图表展示各指标在不同参数配置下的行为差异，验证前文所述的参数演化逻辑。以下图表均使用mplfinance专业金融绘图库生成。</w:t>
      </w:r>
    </w:p>
    <w:p>
      <w:pPr>
        <w:spacing w:before="160" w:after="80" w:line="360" w:lineRule="auto"/>
        <w:jc w:val="both"/>
      </w:pPr>
      <w:r>
        <w:rPr>
          <w:rFonts w:eastAsia="宋体" w:ascii="宋体" w:hAnsi="宋体"/>
          <w:b/>
          <w:sz w:val="24"/>
        </w:rPr>
        <w:t>4.1 综合指标分析</w:t>
      </w:r>
    </w:p>
    <w:p>
      <w:pPr>
        <w:jc w:val="center"/>
      </w:pPr>
      <w:r>
        <w:drawing>
          <wp:inline xmlns:a="http://schemas.openxmlformats.org/drawingml/2006/main" xmlns:pic="http://schemas.openxmlformats.org/drawingml/2006/picture">
            <wp:extent cx="5486400" cy="5387419"/>
            <wp:docPr id="1" name="Picture 1"/>
            <wp:cNvGraphicFramePr>
              <a:graphicFrameLocks noChangeAspect="1"/>
            </wp:cNvGraphicFramePr>
            <a:graphic>
              <a:graphicData uri="http://schemas.openxmlformats.org/drawingml/2006/picture">
                <pic:pic>
                  <pic:nvPicPr>
                    <pic:cNvPr id="0" name="600519_综合指标分析.png"/>
                    <pic:cNvPicPr/>
                  </pic:nvPicPr>
                  <pic:blipFill>
                    <a:blip r:embed="rId9"/>
                    <a:stretch>
                      <a:fillRect/>
                    </a:stretch>
                  </pic:blipFill>
                  <pic:spPr>
                    <a:xfrm>
                      <a:off x="0" y="0"/>
                      <a:ext cx="5486400" cy="5387419"/>
                    </a:xfrm>
                    <a:prstGeom prst="rect"/>
                  </pic:spPr>
                </pic:pic>
              </a:graphicData>
            </a:graphic>
          </wp:inline>
        </w:drawing>
      </w:r>
    </w:p>
    <w:p>
      <w:pPr>
        <w:spacing w:before="0" w:after="240" w:line="360" w:lineRule="auto"/>
        <w:jc w:val="center"/>
      </w:pPr>
      <w:r>
        <w:rPr>
          <w:rFonts w:eastAsia="宋体" w:ascii="宋体" w:hAnsi="宋体"/>
          <w:b w:val="0"/>
          <w:sz w:val="18"/>
        </w:rPr>
        <w:t>图1：贵州茅台（600519）技术指标综合分析——K线（布林带）+ 成交量 + RSI + MACD + KDJ （日线，前复权，2025.05–2026.07）</w:t>
      </w:r>
    </w:p>
    <w:p>
      <w:pPr>
        <w:spacing w:before="0" w:after="0" w:line="360" w:lineRule="auto"/>
        <w:ind w:firstLine="420"/>
        <w:jc w:val="both"/>
      </w:pPr>
      <w:r>
        <w:rPr>
          <w:rFonts w:eastAsia="宋体" w:ascii="宋体" w:hAnsi="宋体"/>
          <w:b w:val="0"/>
          <w:sz w:val="21"/>
        </w:rPr>
        <w:t>图1显示了贵州茅台过去一年的日线走势及五个核心指标的同步变化。贵州茅台在过去一年中经历了大幅波动：2025年6月至7月价格从1500元附近大幅下跌，在2025年7月下旬创下1168.63元的区间最低点，随后进入约半年的震荡整理区间（约1200–1300元），2026年1月下旬价格突破上涨至1526.98元区间最高点，此后再次回落至1200元附近。各指标在不同阶段反映了不同的市场状态——RSI和KDJ在震荡区间（2025年9–12月）多次产生极值信号，MACD在2026年1月的上涨行情中产生了明确的趋势信号（DIF和DEA上穿零轴并维持高位），布林带的带宽在各阶段呈现明显的收缩-扩张周期。</w:t>
      </w:r>
    </w:p>
    <w:p>
      <w:pPr>
        <w:spacing w:before="160" w:after="80" w:line="360" w:lineRule="auto"/>
        <w:jc w:val="both"/>
      </w:pPr>
      <w:r>
        <w:rPr>
          <w:rFonts w:eastAsia="宋体" w:ascii="宋体" w:hAnsi="宋体"/>
          <w:b/>
          <w:sz w:val="24"/>
        </w:rPr>
        <w:t>4.2 补充指标分析</w:t>
      </w:r>
    </w:p>
    <w:p>
      <w:pPr>
        <w:jc w:val="center"/>
      </w:pPr>
      <w:r>
        <w:drawing>
          <wp:inline xmlns:a="http://schemas.openxmlformats.org/drawingml/2006/main" xmlns:pic="http://schemas.openxmlformats.org/drawingml/2006/picture">
            <wp:extent cx="5486400" cy="4807355"/>
            <wp:docPr id="2" name="Picture 2"/>
            <wp:cNvGraphicFramePr>
              <a:graphicFrameLocks noChangeAspect="1"/>
            </wp:cNvGraphicFramePr>
            <a:graphic>
              <a:graphicData uri="http://schemas.openxmlformats.org/drawingml/2006/picture">
                <pic:pic>
                  <pic:nvPicPr>
                    <pic:cNvPr id="0" name="600519_补充指标_CCI_ATR_ADX.png"/>
                    <pic:cNvPicPr/>
                  </pic:nvPicPr>
                  <pic:blipFill>
                    <a:blip r:embed="rId10"/>
                    <a:stretch>
                      <a:fillRect/>
                    </a:stretch>
                  </pic:blipFill>
                  <pic:spPr>
                    <a:xfrm>
                      <a:off x="0" y="0"/>
                      <a:ext cx="5486400" cy="4807355"/>
                    </a:xfrm>
                    <a:prstGeom prst="rect"/>
                  </pic:spPr>
                </pic:pic>
              </a:graphicData>
            </a:graphic>
          </wp:inline>
        </w:drawing>
      </w:r>
    </w:p>
    <w:p>
      <w:pPr>
        <w:spacing w:before="0" w:after="240" w:line="360" w:lineRule="auto"/>
        <w:jc w:val="center"/>
      </w:pPr>
      <w:r>
        <w:rPr>
          <w:rFonts w:eastAsia="宋体" w:ascii="宋体" w:hAnsi="宋体"/>
          <w:b w:val="0"/>
          <w:sz w:val="18"/>
        </w:rPr>
        <w:t>图2：贵州茅台（600519）补充技术指标——CCI + ATR + ADX/+DI/−DI（日线，前复权，2025.05–2026.07）</w:t>
      </w:r>
    </w:p>
    <w:p>
      <w:pPr>
        <w:spacing w:before="0" w:after="0" w:line="360" w:lineRule="auto"/>
        <w:ind w:firstLine="420"/>
        <w:jc w:val="both"/>
      </w:pPr>
      <w:r>
        <w:rPr>
          <w:rFonts w:eastAsia="宋体" w:ascii="宋体" w:hAnsi="宋体"/>
          <w:b w:val="0"/>
          <w:sz w:val="21"/>
        </w:rPr>
        <w:t>图2展示了CCI、ATR和ADX三个指标的变化。CCI在2025年7月的下跌行情中深度下探至−200以下，反映了统计极端位置的出现；ATR在2025年7月和2026年2月出现了两次显著的波动率放大——第一次伴随价格暴跌（恐慌性抛售），第二次伴随价格快速反弹后的震荡。ADX在2025年7–8月和2026年2–3月两次突破25阈值，确认了这两个时间段内趋势的存在。2025年9–12月期间ADX长期低于20，对应价格的横盘震荡区间，此时趋势跟踪策略的效率下降，RSI和KDJ等震荡指标更为适用。</w:t>
      </w:r>
    </w:p>
    <w:p>
      <w:pPr>
        <w:spacing w:before="160" w:after="80" w:line="360" w:lineRule="auto"/>
        <w:jc w:val="both"/>
      </w:pPr>
      <w:r>
        <w:rPr>
          <w:rFonts w:eastAsia="宋体" w:ascii="宋体" w:hAnsi="宋体"/>
          <w:b/>
          <w:sz w:val="24"/>
        </w:rPr>
        <w:t>4.3 RSI参数演化对比</w:t>
      </w:r>
    </w:p>
    <w:p>
      <w:pPr>
        <w:jc w:val="center"/>
      </w:pPr>
      <w:r>
        <w:drawing>
          <wp:inline xmlns:a="http://schemas.openxmlformats.org/drawingml/2006/main" xmlns:pic="http://schemas.openxmlformats.org/drawingml/2006/picture">
            <wp:extent cx="5486400" cy="3258010"/>
            <wp:docPr id="3" name="Picture 3"/>
            <wp:cNvGraphicFramePr>
              <a:graphicFrameLocks noChangeAspect="1"/>
            </wp:cNvGraphicFramePr>
            <a:graphic>
              <a:graphicData uri="http://schemas.openxmlformats.org/drawingml/2006/picture">
                <pic:pic>
                  <pic:nvPicPr>
                    <pic:cNvPr id="0" name="600519_RSI参数对比.png"/>
                    <pic:cNvPicPr/>
                  </pic:nvPicPr>
                  <pic:blipFill>
                    <a:blip r:embed="rId11"/>
                    <a:stretch>
                      <a:fillRect/>
                    </a:stretch>
                  </pic:blipFill>
                  <pic:spPr>
                    <a:xfrm>
                      <a:off x="0" y="0"/>
                      <a:ext cx="5486400" cy="3258010"/>
                    </a:xfrm>
                    <a:prstGeom prst="rect"/>
                  </pic:spPr>
                </pic:pic>
              </a:graphicData>
            </a:graphic>
          </wp:inline>
        </w:drawing>
      </w:r>
    </w:p>
    <w:p>
      <w:pPr>
        <w:spacing w:before="0" w:after="240" w:line="360" w:lineRule="auto"/>
        <w:jc w:val="center"/>
      </w:pPr>
      <w:r>
        <w:rPr>
          <w:rFonts w:eastAsia="宋体" w:ascii="宋体" w:hAnsi="宋体"/>
          <w:b w:val="0"/>
          <w:sz w:val="18"/>
        </w:rPr>
        <w:t>图3：贵州茅台（600519）RSI参数演化——N=7（敏感）、N=14（默认）、N=21（平滑）对比</w:t>
      </w:r>
    </w:p>
    <w:p>
      <w:pPr>
        <w:spacing w:before="0" w:after="0" w:line="360" w:lineRule="auto"/>
        <w:ind w:firstLine="420"/>
        <w:jc w:val="both"/>
      </w:pPr>
      <w:r>
        <w:rPr>
          <w:rFonts w:eastAsia="宋体" w:ascii="宋体" w:hAnsi="宋体"/>
          <w:b w:val="0"/>
          <w:sz w:val="21"/>
        </w:rPr>
        <w:t>图3对比了RSI在三个不同周期参数下的行为差异：N=7（敏感，红色反应最快）、N=14（默认，蓝色处于中等敏感度）、N=21（平滑，绿色过滤了大量噪音）。图中棕色背景标注了RSI&gt;70和RSI&lt;30区域，便于观察超买超卖信号。从图中可以观察到：N越小，RSI触碰30/70线的频率越高（N=7产生了更多的超买超卖信号），但信号的可信度受到噪音干扰；N越大，RSI曲线越平滑，信号数量减少但每次穿越的可靠性提高。参数N的选择本质上是在"信号频率"和"信号可靠性"之间做权衡。</w:t>
      </w:r>
    </w:p>
    <w:p>
      <w:pPr>
        <w:spacing w:before="160" w:after="80" w:line="360" w:lineRule="auto"/>
        <w:jc w:val="both"/>
      </w:pPr>
      <w:r>
        <w:rPr>
          <w:rFonts w:eastAsia="宋体" w:ascii="宋体" w:hAnsi="宋体"/>
          <w:b/>
          <w:sz w:val="24"/>
        </w:rPr>
        <w:t>4.4 MACD参数演化对比</w:t>
      </w:r>
    </w:p>
    <w:p>
      <w:pPr>
        <w:jc w:val="center"/>
      </w:pPr>
      <w:r>
        <w:drawing>
          <wp:inline xmlns:a="http://schemas.openxmlformats.org/drawingml/2006/main" xmlns:pic="http://schemas.openxmlformats.org/drawingml/2006/picture">
            <wp:extent cx="5486400" cy="3258010"/>
            <wp:docPr id="4" name="Picture 4"/>
            <wp:cNvGraphicFramePr>
              <a:graphicFrameLocks noChangeAspect="1"/>
            </wp:cNvGraphicFramePr>
            <a:graphic>
              <a:graphicData uri="http://schemas.openxmlformats.org/drawingml/2006/picture">
                <pic:pic>
                  <pic:nvPicPr>
                    <pic:cNvPr id="0" name="600519_MACD参数对比.png"/>
                    <pic:cNvPicPr/>
                  </pic:nvPicPr>
                  <pic:blipFill>
                    <a:blip r:embed="rId12"/>
                    <a:stretch>
                      <a:fillRect/>
                    </a:stretch>
                  </pic:blipFill>
                  <pic:spPr>
                    <a:xfrm>
                      <a:off x="0" y="0"/>
                      <a:ext cx="5486400" cy="3258010"/>
                    </a:xfrm>
                    <a:prstGeom prst="rect"/>
                  </pic:spPr>
                </pic:pic>
              </a:graphicData>
            </a:graphic>
          </wp:inline>
        </w:drawing>
      </w:r>
    </w:p>
    <w:p>
      <w:pPr>
        <w:spacing w:before="0" w:after="240" w:line="360" w:lineRule="auto"/>
        <w:jc w:val="center"/>
      </w:pPr>
      <w:r>
        <w:rPr>
          <w:rFonts w:eastAsia="宋体" w:ascii="宋体" w:hAnsi="宋体"/>
          <w:b w:val="0"/>
          <w:sz w:val="18"/>
        </w:rPr>
        <w:t>图4：贵州茅台（600519）MACD参数演化——(6,13,5)短线、(12,26,9)经典、(21,55,13)长线对比</w:t>
      </w:r>
    </w:p>
    <w:p>
      <w:pPr>
        <w:spacing w:before="0" w:after="0" w:line="360" w:lineRule="auto"/>
        <w:ind w:firstLine="420"/>
        <w:jc w:val="both"/>
      </w:pPr>
      <w:r>
        <w:rPr>
          <w:rFonts w:eastAsia="宋体" w:ascii="宋体" w:hAnsi="宋体"/>
          <w:b w:val="0"/>
          <w:sz w:val="21"/>
        </w:rPr>
        <w:t>图4展示了MACD在三组不同参数下的表现：(6,13,5)短线参数（上）产生更多、更快的金叉死叉信号，适合捕捉短期趋势转折，但假信号率较高；(12,26,9)经典参数（中）在信号频率和可靠性之间取得平衡，是日线分析的标准选择；(21,55,13)长线参数（下）产生的信号数量最少但每次信号的质量更高，适合周线级别和长线趋势确认。统计显示，短线参数在267个交易日中产生了最多的金叉/死叉次数，长线参数所产生的交叉最少但最接近价格的主要转折点。</w:t>
      </w:r>
    </w:p>
    <w:p>
      <w:pPr>
        <w:spacing w:before="160" w:after="80" w:line="360" w:lineRule="auto"/>
        <w:jc w:val="both"/>
      </w:pPr>
      <w:r>
        <w:rPr>
          <w:rFonts w:eastAsia="宋体" w:ascii="宋体" w:hAnsi="宋体"/>
          <w:b/>
          <w:sz w:val="24"/>
        </w:rPr>
        <w:t>4.5 布林带参数演化对比</w:t>
      </w:r>
    </w:p>
    <w:p>
      <w:pPr>
        <w:jc w:val="center"/>
      </w:pPr>
      <w:r>
        <w:drawing>
          <wp:inline xmlns:a="http://schemas.openxmlformats.org/drawingml/2006/main" xmlns:pic="http://schemas.openxmlformats.org/drawingml/2006/picture">
            <wp:extent cx="5486400" cy="3798560"/>
            <wp:docPr id="5" name="Picture 5"/>
            <wp:cNvGraphicFramePr>
              <a:graphicFrameLocks noChangeAspect="1"/>
            </wp:cNvGraphicFramePr>
            <a:graphic>
              <a:graphicData uri="http://schemas.openxmlformats.org/drawingml/2006/picture">
                <pic:pic>
                  <pic:nvPicPr>
                    <pic:cNvPr id="0" name="600519_布林带参数对比.png"/>
                    <pic:cNvPicPr/>
                  </pic:nvPicPr>
                  <pic:blipFill>
                    <a:blip r:embed="rId13"/>
                    <a:stretch>
                      <a:fillRect/>
                    </a:stretch>
                  </pic:blipFill>
                  <pic:spPr>
                    <a:xfrm>
                      <a:off x="0" y="0"/>
                      <a:ext cx="5486400" cy="3798560"/>
                    </a:xfrm>
                    <a:prstGeom prst="rect"/>
                  </pic:spPr>
                </pic:pic>
              </a:graphicData>
            </a:graphic>
          </wp:inline>
        </w:drawing>
      </w:r>
    </w:p>
    <w:p>
      <w:pPr>
        <w:spacing w:before="0" w:after="240" w:line="360" w:lineRule="auto"/>
        <w:jc w:val="center"/>
      </w:pPr>
      <w:r>
        <w:rPr>
          <w:rFonts w:eastAsia="宋体" w:ascii="宋体" w:hAnsi="宋体"/>
          <w:b w:val="0"/>
          <w:sz w:val="18"/>
        </w:rPr>
        <w:t>图5：贵州茅台（600519）布林带参数演化——(10,1.5)短线、(20,2.0)经典、(50,2.5)长线对比</w:t>
      </w:r>
    </w:p>
    <w:p>
      <w:pPr>
        <w:spacing w:before="0" w:after="0" w:line="360" w:lineRule="auto"/>
        <w:ind w:firstLine="420"/>
        <w:jc w:val="both"/>
      </w:pPr>
      <w:r>
        <w:rPr>
          <w:rFonts w:eastAsia="宋体" w:ascii="宋体" w:hAnsi="宋体"/>
          <w:b w:val="0"/>
          <w:sz w:val="21"/>
        </w:rPr>
        <w:t>图5展示了布林带在三组参数下的对比：(10,1.5)短线参数（上）产生窄通道，价格频繁触轨，适合短线波动交易；(20,2.0)经典参数（中）提供合理的波动范围，价格在统计上约95%的时间应在带内（理论值）；(50,2.5)长线参数（下）产生宽通道，价格很少触轨——触轨时意味着达到了季度级别的统计极端位置。参数组的突破上轨/跌破下轨次数统计显示了参数对信号密度的影响：短线参数触轨次数约为经典参数的2倍，长线参数触轨次数最少。k值（标准差倍数）直接影响信号密度。k越小，通道越窄，信号密度越高但假信号比例也越高。</w:t>
      </w:r>
    </w:p>
    <w:p>
      <w:pPr>
        <w:spacing w:before="160" w:after="80" w:line="360" w:lineRule="auto"/>
        <w:jc w:val="both"/>
      </w:pPr>
      <w:r>
        <w:rPr>
          <w:rFonts w:eastAsia="宋体" w:ascii="宋体" w:hAnsi="宋体"/>
          <w:b/>
          <w:sz w:val="24"/>
        </w:rPr>
        <w:t>4.6 KDJ参数演化对比</w:t>
      </w:r>
    </w:p>
    <w:p>
      <w:pPr>
        <w:jc w:val="center"/>
      </w:pPr>
      <w:r>
        <w:drawing>
          <wp:inline xmlns:a="http://schemas.openxmlformats.org/drawingml/2006/main" xmlns:pic="http://schemas.openxmlformats.org/drawingml/2006/picture">
            <wp:extent cx="5486400" cy="3528285"/>
            <wp:docPr id="6" name="Picture 6"/>
            <wp:cNvGraphicFramePr>
              <a:graphicFrameLocks noChangeAspect="1"/>
            </wp:cNvGraphicFramePr>
            <a:graphic>
              <a:graphicData uri="http://schemas.openxmlformats.org/drawingml/2006/picture">
                <pic:pic>
                  <pic:nvPicPr>
                    <pic:cNvPr id="0" name="600519_KDJ参数对比.png"/>
                    <pic:cNvPicPr/>
                  </pic:nvPicPr>
                  <pic:blipFill>
                    <a:blip r:embed="rId14"/>
                    <a:stretch>
                      <a:fillRect/>
                    </a:stretch>
                  </pic:blipFill>
                  <pic:spPr>
                    <a:xfrm>
                      <a:off x="0" y="0"/>
                      <a:ext cx="5486400" cy="3528285"/>
                    </a:xfrm>
                    <a:prstGeom prst="rect"/>
                  </pic:spPr>
                </pic:pic>
              </a:graphicData>
            </a:graphic>
          </wp:inline>
        </w:drawing>
      </w:r>
    </w:p>
    <w:p>
      <w:pPr>
        <w:spacing w:before="0" w:after="240" w:line="360" w:lineRule="auto"/>
        <w:jc w:val="center"/>
      </w:pPr>
      <w:r>
        <w:rPr>
          <w:rFonts w:eastAsia="宋体" w:ascii="宋体" w:hAnsi="宋体"/>
          <w:b w:val="0"/>
          <w:sz w:val="18"/>
        </w:rPr>
        <w:t>图6：贵州茅台（600519）KDJ参数演化——(5,2,2)极短线、(9,3,3)标准、(14,5,5)长线对比</w:t>
      </w:r>
    </w:p>
    <w:p>
      <w:pPr>
        <w:spacing w:before="0" w:after="0" w:line="360" w:lineRule="auto"/>
        <w:ind w:firstLine="420"/>
        <w:jc w:val="both"/>
      </w:pPr>
      <w:r>
        <w:rPr>
          <w:rFonts w:eastAsia="宋体" w:ascii="宋体" w:hAnsi="宋体"/>
          <w:b w:val="0"/>
          <w:sz w:val="21"/>
        </w:rPr>
        <w:t>图6对比了KDJ在三组参数下的差异：(5,2,2)极短线参数（上）的J线频繁触及&gt;100和&lt;0的极值区域，信号密度最高；(9,3,3)标准参数（中）是日线分析的标准选择，J线极值的出现频率适中；(14,5,5)长线参数（下）的J线波动范围收窄，极值出现频率最低。极短线参数的J线在262个交易日中J&gt;100天数和J&lt;0天数最为频繁，这些信号中有相当比例是噪音驱动的假信号。在实际使用中需要根据期望的交易频率和市场波动特征选择合适的参数组合。</w:t>
      </w:r>
    </w:p>
    <w:p>
      <w:pPr>
        <w:spacing w:before="160" w:after="80" w:line="360" w:lineRule="auto"/>
        <w:jc w:val="both"/>
      </w:pPr>
      <w:r>
        <w:rPr>
          <w:rFonts w:eastAsia="宋体" w:ascii="宋体" w:hAnsi="宋体"/>
          <w:b/>
          <w:sz w:val="24"/>
        </w:rPr>
        <w:t>4.7 MA多周期共振分析</w:t>
      </w:r>
    </w:p>
    <w:p>
      <w:pPr>
        <w:jc w:val="center"/>
      </w:pPr>
      <w:r>
        <w:drawing>
          <wp:inline xmlns:a="http://schemas.openxmlformats.org/drawingml/2006/main" xmlns:pic="http://schemas.openxmlformats.org/drawingml/2006/picture">
            <wp:extent cx="5486400" cy="3769944"/>
            <wp:docPr id="7" name="Picture 7"/>
            <wp:cNvGraphicFramePr>
              <a:graphicFrameLocks noChangeAspect="1"/>
            </wp:cNvGraphicFramePr>
            <a:graphic>
              <a:graphicData uri="http://schemas.openxmlformats.org/drawingml/2006/picture">
                <pic:pic>
                  <pic:nvPicPr>
                    <pic:cNvPr id="0" name="600519_MA多周期共振.png"/>
                    <pic:cNvPicPr/>
                  </pic:nvPicPr>
                  <pic:blipFill>
                    <a:blip r:embed="rId15"/>
                    <a:stretch>
                      <a:fillRect/>
                    </a:stretch>
                  </pic:blipFill>
                  <pic:spPr>
                    <a:xfrm>
                      <a:off x="0" y="0"/>
                      <a:ext cx="5486400" cy="3769944"/>
                    </a:xfrm>
                    <a:prstGeom prst="rect"/>
                  </pic:spPr>
                </pic:pic>
              </a:graphicData>
            </a:graphic>
          </wp:inline>
        </w:drawing>
      </w:r>
    </w:p>
    <w:p>
      <w:pPr>
        <w:spacing w:before="0" w:after="240" w:line="360" w:lineRule="auto"/>
        <w:jc w:val="center"/>
      </w:pPr>
      <w:r>
        <w:rPr>
          <w:rFonts w:eastAsia="宋体" w:ascii="宋体" w:hAnsi="宋体"/>
          <w:b w:val="0"/>
          <w:sz w:val="18"/>
        </w:rPr>
        <w:t>图7：贵州茅台（600519）多周期均线共振——MA5/10/20/60/120/250（日线，前复权，2025.05–2026.07）</w:t>
      </w:r>
    </w:p>
    <w:p>
      <w:pPr>
        <w:spacing w:before="0" w:after="0" w:line="360" w:lineRule="auto"/>
        <w:ind w:firstLine="420"/>
        <w:jc w:val="both"/>
      </w:pPr>
      <w:r>
        <w:rPr>
          <w:rFonts w:eastAsia="宋体" w:ascii="宋体" w:hAnsi="宋体"/>
          <w:b w:val="0"/>
          <w:sz w:val="21"/>
        </w:rPr>
        <w:t>图7显示了六条不同周期的移动平均线：(1) 2025年7–8月，短期均线（MA5、MA10、MA20）全部位于长期均线（MA60、MA120、MA250）下方，形成空头排列——各时间尺度交易者的持仓成本从上到下递减，市场整体处于亏损状态；(2) 2025年10–12月，六条均线在1200–1300元区间高度粘合——各时间尺度交易者的持仓成本几乎一致，随后的价格突破导致了趋势的启动；(3) 2026年2月之后，短期均线再次下穿长期均线，空头排列重新确立。均线从粘合到发散的过程是趋势启动的典型特征——当多周期交易者的成本趋同时，任何方向性的力量都可能导致集体性的方向选择。</w:t>
      </w:r>
    </w:p>
    <w:p>
      <w:r>
        <w:br w:type="page"/>
      </w:r>
    </w:p>
    <w:p>
      <w:pPr>
        <w:spacing w:before="240" w:after="120" w:line="360" w:lineRule="auto"/>
        <w:jc w:val="both"/>
      </w:pPr>
      <w:r>
        <w:rPr>
          <w:rFonts w:eastAsia="宋体" w:ascii="宋体" w:hAnsi="宋体"/>
          <w:b/>
          <w:sz w:val="28"/>
        </w:rPr>
        <w:t>五、交互式技术指标看板</w:t>
      </w:r>
    </w:p>
    <w:p>
      <w:pPr>
        <w:spacing w:before="160" w:after="80" w:line="360" w:lineRule="auto"/>
        <w:jc w:val="both"/>
      </w:pPr>
      <w:r>
        <w:rPr>
          <w:rFonts w:eastAsia="宋体" w:ascii="宋体" w:hAnsi="宋体"/>
          <w:b/>
          <w:sz w:val="24"/>
        </w:rPr>
        <w:t>5.1 看板概述</w:t>
      </w:r>
    </w:p>
    <w:p>
      <w:pPr>
        <w:spacing w:before="0" w:after="0" w:line="360" w:lineRule="auto"/>
        <w:ind w:firstLine="420"/>
        <w:jc w:val="both"/>
      </w:pPr>
      <w:r>
        <w:rPr>
          <w:rFonts w:eastAsia="宋体" w:ascii="宋体" w:hAnsi="宋体"/>
          <w:b w:val="0"/>
          <w:sz w:val="21"/>
        </w:rPr>
        <w:t>为直观展示和分析技术指标，本任务构建了一个自包含的交互式Web看板（Task2/dashboard/index.html）。看板覆盖10只标的（5只A股+5只港股），集成K线图（含布林带+MA均线叠加）、成交量图和8个技术指标的独立图表，所有图表通过ECharts 5.5渲染，CSV数据序列化为JSON嵌入页面，无需后端服务器即可在浏览器中运行。</w:t>
      </w:r>
    </w:p>
    <w:p>
      <w:pPr>
        <w:spacing w:before="160" w:after="80" w:line="360" w:lineRule="auto"/>
        <w:jc w:val="both"/>
      </w:pPr>
      <w:r>
        <w:rPr>
          <w:rFonts w:eastAsia="宋体" w:ascii="宋体" w:hAnsi="宋体"/>
          <w:b/>
          <w:sz w:val="24"/>
        </w:rPr>
        <w:t>5.2 核心功能</w:t>
      </w:r>
    </w:p>
    <w:tbl>
      <w:tblPr>
        <w:tblStyle w:val="TableGrid"/>
        <w:tblW w:type="auto" w:w="0"/>
        <w:jc w:val="center"/>
        <w:tblLook w:firstColumn="1" w:firstRow="1" w:lastColumn="0" w:lastRow="0" w:noHBand="0" w:noVBand="1" w:val="04A0"/>
      </w:tblPr>
      <w:tblGrid>
        <w:gridCol w:w="4317"/>
        <w:gridCol w:w="4317"/>
      </w:tblGrid>
      <w:tr>
        <w:tc>
          <w:tcPr>
            <w:tcW w:type="dxa" w:w="4317"/>
            <w:shd w:fill="D9D9D9"/>
          </w:tcPr>
          <w:p>
            <w:pPr>
              <w:jc w:val="center"/>
            </w:pPr>
            <w:r/>
            <w:r>
              <w:rPr>
                <w:rFonts w:eastAsia="宋体" w:ascii="宋体" w:hAnsi="宋体"/>
                <w:b/>
                <w:sz w:val="18"/>
              </w:rPr>
              <w:t>功能</w:t>
            </w:r>
          </w:p>
        </w:tc>
        <w:tc>
          <w:tcPr>
            <w:tcW w:type="dxa" w:w="4317"/>
            <w:shd w:fill="D9D9D9"/>
          </w:tcPr>
          <w:p>
            <w:pPr>
              <w:jc w:val="center"/>
            </w:pPr>
            <w:r/>
            <w:r>
              <w:rPr>
                <w:rFonts w:eastAsia="宋体" w:ascii="宋体" w:hAnsi="宋体"/>
                <w:b/>
                <w:sz w:val="18"/>
              </w:rPr>
              <w:t>说明</w:t>
            </w:r>
          </w:p>
        </w:tc>
      </w:tr>
      <w:tr>
        <w:tc>
          <w:tcPr>
            <w:tcW w:type="dxa" w:w="4317"/>
          </w:tcPr>
          <w:p>
            <w:pPr>
              <w:jc w:val="center"/>
            </w:pPr>
            <w:r/>
            <w:r>
              <w:rPr>
                <w:rFonts w:eastAsia="宋体" w:ascii="宋体" w:hAnsi="宋体"/>
                <w:sz w:val="18"/>
              </w:rPr>
              <w:t>标的切换</w:t>
            </w:r>
          </w:p>
        </w:tc>
        <w:tc>
          <w:tcPr>
            <w:tcW w:type="dxa" w:w="4317"/>
          </w:tcPr>
          <w:p>
            <w:pPr>
              <w:jc w:val="center"/>
            </w:pPr>
            <w:r/>
            <w:r>
              <w:rPr>
                <w:rFonts w:eastAsia="宋体" w:ascii="宋体" w:hAnsi="宋体"/>
                <w:sz w:val="18"/>
              </w:rPr>
              <w:t>左侧边栏下拉选择或快捷按钮切换10只标的（A股/港股分组）</w:t>
            </w:r>
          </w:p>
        </w:tc>
      </w:tr>
      <w:tr>
        <w:tc>
          <w:tcPr>
            <w:tcW w:type="dxa" w:w="4317"/>
          </w:tcPr>
          <w:p>
            <w:pPr>
              <w:jc w:val="center"/>
            </w:pPr>
            <w:r/>
            <w:r>
              <w:rPr>
                <w:rFonts w:eastAsia="宋体" w:ascii="宋体" w:hAnsi="宋体"/>
                <w:sz w:val="18"/>
              </w:rPr>
              <w:t>参数调节</w:t>
            </w:r>
          </w:p>
        </w:tc>
        <w:tc>
          <w:tcPr>
            <w:tcW w:type="dxa" w:w="4317"/>
          </w:tcPr>
          <w:p>
            <w:pPr>
              <w:jc w:val="center"/>
            </w:pPr>
            <w:r/>
            <w:r>
              <w:rPr>
                <w:rFonts w:eastAsia="宋体" w:ascii="宋体" w:hAnsi="宋体"/>
                <w:sz w:val="18"/>
              </w:rPr>
              <w:t>每个指标独立调节参数（周期、平滑系数等），滑块拖动即时生效</w:t>
            </w:r>
          </w:p>
        </w:tc>
      </w:tr>
      <w:tr>
        <w:tc>
          <w:tcPr>
            <w:tcW w:type="dxa" w:w="4317"/>
          </w:tcPr>
          <w:p>
            <w:pPr>
              <w:jc w:val="center"/>
            </w:pPr>
            <w:r/>
            <w:r>
              <w:rPr>
                <w:rFonts w:eastAsia="宋体" w:ascii="宋体" w:hAnsi="宋体"/>
                <w:sz w:val="18"/>
              </w:rPr>
              <w:t>显示切换</w:t>
            </w:r>
          </w:p>
        </w:tc>
        <w:tc>
          <w:tcPr>
            <w:tcW w:type="dxa" w:w="4317"/>
          </w:tcPr>
          <w:p>
            <w:pPr>
              <w:jc w:val="center"/>
            </w:pPr>
            <w:r/>
            <w:r>
              <w:rPr>
                <w:rFonts w:eastAsia="宋体" w:ascii="宋体" w:hAnsi="宋体"/>
                <w:sz w:val="18"/>
              </w:rPr>
              <w:t>8个指标可独立勾选显示/隐藏，MA均线也可单独控制</w:t>
            </w:r>
          </w:p>
        </w:tc>
      </w:tr>
      <w:tr>
        <w:tc>
          <w:tcPr>
            <w:tcW w:type="dxa" w:w="4317"/>
          </w:tcPr>
          <w:p>
            <w:pPr>
              <w:jc w:val="center"/>
            </w:pPr>
            <w:r/>
            <w:r>
              <w:rPr>
                <w:rFonts w:eastAsia="宋体" w:ascii="宋体" w:hAnsi="宋体"/>
                <w:sz w:val="18"/>
              </w:rPr>
              <w:t>交互K线图</w:t>
            </w:r>
          </w:p>
        </w:tc>
        <w:tc>
          <w:tcPr>
            <w:tcW w:type="dxa" w:w="4317"/>
          </w:tcPr>
          <w:p>
            <w:pPr>
              <w:jc w:val="center"/>
            </w:pPr>
            <w:r/>
            <w:r>
              <w:rPr>
                <w:rFonts w:eastAsia="宋体" w:ascii="宋体" w:hAnsi="宋体"/>
                <w:sz w:val="18"/>
              </w:rPr>
              <w:t>蜡烛图 + 布林带上/中/下轨 + MA20/MA60 + 成交量柱状图 + 十字光标数据提示</w:t>
            </w:r>
          </w:p>
        </w:tc>
      </w:tr>
      <w:tr>
        <w:tc>
          <w:tcPr>
            <w:tcW w:type="dxa" w:w="4317"/>
          </w:tcPr>
          <w:p>
            <w:pPr>
              <w:jc w:val="center"/>
            </w:pPr>
            <w:r/>
            <w:r>
              <w:rPr>
                <w:rFonts w:eastAsia="宋体" w:ascii="宋体" w:hAnsi="宋体"/>
                <w:sz w:val="18"/>
              </w:rPr>
              <w:t>技术指标图</w:t>
            </w:r>
          </w:p>
        </w:tc>
        <w:tc>
          <w:tcPr>
            <w:tcW w:type="dxa" w:w="4317"/>
          </w:tcPr>
          <w:p>
            <w:pPr>
              <w:jc w:val="center"/>
            </w:pPr>
            <w:r/>
            <w:r>
              <w:rPr>
                <w:rFonts w:eastAsia="宋体" w:ascii="宋体" w:hAnsi="宋体"/>
                <w:sz w:val="18"/>
              </w:rPr>
              <w:t>RSI / MACD / 布林带 / ATR / KDJ / CCI / ADX 各独立面板，含参考线</w:t>
            </w:r>
          </w:p>
        </w:tc>
      </w:tr>
      <w:tr>
        <w:tc>
          <w:tcPr>
            <w:tcW w:type="dxa" w:w="4317"/>
          </w:tcPr>
          <w:p>
            <w:pPr>
              <w:jc w:val="center"/>
            </w:pPr>
            <w:r/>
            <w:r>
              <w:rPr>
                <w:rFonts w:eastAsia="宋体" w:ascii="宋体" w:hAnsi="宋体"/>
                <w:sz w:val="18"/>
              </w:rPr>
              <w:t>Tooltip联动</w:t>
            </w:r>
          </w:p>
        </w:tc>
        <w:tc>
          <w:tcPr>
            <w:tcW w:type="dxa" w:w="4317"/>
          </w:tcPr>
          <w:p>
            <w:pPr>
              <w:jc w:val="center"/>
            </w:pPr>
            <w:r/>
            <w:r>
              <w:rPr>
                <w:rFonts w:eastAsia="宋体" w:ascii="宋体" w:hAnsi="宋体"/>
                <w:sz w:val="18"/>
              </w:rPr>
              <w:t>所有图表通过echarts.connect同步十字光标，鼠标悬浮任一图表即可查看同日全部指标数据</w:t>
            </w:r>
          </w:p>
        </w:tc>
      </w:tr>
      <w:tr>
        <w:tc>
          <w:tcPr>
            <w:tcW w:type="dxa" w:w="4317"/>
          </w:tcPr>
          <w:p>
            <w:pPr>
              <w:jc w:val="center"/>
            </w:pPr>
            <w:r/>
            <w:r>
              <w:rPr>
                <w:rFonts w:eastAsia="宋体" w:ascii="宋体" w:hAnsi="宋体"/>
                <w:sz w:val="18"/>
              </w:rPr>
              <w:t>缩放拖拽</w:t>
            </w:r>
          </w:p>
        </w:tc>
        <w:tc>
          <w:tcPr>
            <w:tcW w:type="dxa" w:w="4317"/>
          </w:tcPr>
          <w:p>
            <w:pPr>
              <w:jc w:val="center"/>
            </w:pPr>
            <w:r/>
            <w:r>
              <w:rPr>
                <w:rFonts w:eastAsia="宋体" w:ascii="宋体" w:hAnsi="宋体"/>
                <w:sz w:val="18"/>
              </w:rPr>
              <w:t>K线图支持Ctrl+滚轮缩放和拖拽平移，底部滑块可调节时间范围</w:t>
            </w:r>
          </w:p>
        </w:tc>
      </w:tr>
      <w:tr>
        <w:tc>
          <w:tcPr>
            <w:tcW w:type="dxa" w:w="4317"/>
          </w:tcPr>
          <w:p>
            <w:pPr>
              <w:jc w:val="center"/>
            </w:pPr>
            <w:r/>
            <w:r>
              <w:rPr>
                <w:rFonts w:eastAsia="宋体" w:ascii="宋体" w:hAnsi="宋体"/>
                <w:sz w:val="18"/>
              </w:rPr>
              <w:t>回看天数</w:t>
            </w:r>
          </w:p>
        </w:tc>
        <w:tc>
          <w:tcPr>
            <w:tcW w:type="dxa" w:w="4317"/>
          </w:tcPr>
          <w:p>
            <w:pPr>
              <w:jc w:val="center"/>
            </w:pPr>
            <w:r/>
            <w:r>
              <w:rPr>
                <w:rFonts w:eastAsia="宋体" w:ascii="宋体" w:hAnsi="宋体"/>
                <w:sz w:val="18"/>
              </w:rPr>
              <w:t>支持60天/120天/250天/全部四档切换，指标基于全量数据计算后截取显示</w:t>
            </w:r>
          </w:p>
        </w:tc>
      </w:tr>
      <w:tr>
        <w:tc>
          <w:tcPr>
            <w:tcW w:type="dxa" w:w="4317"/>
          </w:tcPr>
          <w:p>
            <w:pPr>
              <w:jc w:val="center"/>
            </w:pPr>
            <w:r/>
            <w:r>
              <w:rPr>
                <w:rFonts w:eastAsia="宋体" w:ascii="宋体" w:hAnsi="宋体"/>
                <w:sz w:val="18"/>
              </w:rPr>
              <w:t>响应式布局</w:t>
            </w:r>
          </w:p>
        </w:tc>
        <w:tc>
          <w:tcPr>
            <w:tcW w:type="dxa" w:w="4317"/>
          </w:tcPr>
          <w:p>
            <w:pPr>
              <w:jc w:val="center"/>
            </w:pPr>
            <w:r/>
            <w:r>
              <w:rPr>
                <w:rFonts w:eastAsia="宋体" w:ascii="宋体" w:hAnsi="宋体"/>
                <w:sz w:val="18"/>
              </w:rPr>
              <w:t>桌面端左侧边栏+右侧图表双栏布局，移动端自动切换为上下堆叠</w:t>
            </w:r>
          </w:p>
        </w:tc>
      </w:tr>
    </w:tbl>
    <w:p/>
    <w:p>
      <w:pPr>
        <w:spacing w:before="160" w:after="80" w:line="360" w:lineRule="auto"/>
        <w:jc w:val="both"/>
      </w:pPr>
      <w:r>
        <w:rPr>
          <w:rFonts w:eastAsia="宋体" w:ascii="宋体" w:hAnsi="宋体"/>
          <w:b/>
          <w:sz w:val="24"/>
        </w:rPr>
        <w:t>5.3 技术架构</w:t>
      </w:r>
    </w:p>
    <w:p>
      <w:pPr>
        <w:spacing w:before="0" w:after="0" w:line="360" w:lineRule="auto"/>
        <w:ind w:firstLine="420"/>
        <w:jc w:val="both"/>
      </w:pPr>
      <w:r>
        <w:rPr>
          <w:rFonts w:eastAsia="宋体" w:ascii="宋体" w:hAnsi="宋体"/>
          <w:b w:val="0"/>
          <w:sz w:val="21"/>
        </w:rPr>
        <w:t>看板采用纯前端架构：数据层由Python脚本（build_dashboard.py）读取CSV文件并序列化为嵌入式JSON；计算层将所有8个指标的计算逻辑（EMA、WilderSmooth、SMA、StdDev等）翻译为JavaScript，在浏览器端实时运算，支持参数动态调整；渲染层使用ECharts 5.5（CDN加载），所有图表共享同一个实例管理器，切换标的时自动释放旧实例。全量计算+显示截取的架构设计确保了回看天数切换时指标的准确性。</w:t>
      </w:r>
    </w:p>
    <w:p>
      <w:pPr>
        <w:spacing w:before="160" w:after="80" w:line="360" w:lineRule="auto"/>
        <w:jc w:val="both"/>
      </w:pPr>
      <w:r>
        <w:rPr>
          <w:rFonts w:eastAsia="宋体" w:ascii="宋体" w:hAnsi="宋体"/>
          <w:b/>
          <w:sz w:val="24"/>
        </w:rPr>
        <w:t>5.4 部署方式</w:t>
      </w:r>
    </w:p>
    <w:p>
      <w:pPr>
        <w:spacing w:before="0" w:after="0" w:line="360" w:lineRule="auto"/>
        <w:ind w:firstLine="420"/>
        <w:jc w:val="both"/>
      </w:pPr>
      <w:r>
        <w:rPr>
          <w:rFonts w:eastAsia="宋体" w:ascii="宋体" w:hAnsi="宋体"/>
          <w:b w:val="0"/>
          <w:sz w:val="21"/>
        </w:rPr>
        <w:t>看板已部署到GitHub Pages：https://rebekahlllimx.github.io/quant-trading-ai/Task2/dashboard/index.html。本地使用可直接双击打开HTML文件，或通过任意HTTP服务器托管。每次push后GitHub Pages自动同步部署。</w:t>
      </w:r>
    </w:p>
    <w:p>
      <w:pPr>
        <w:spacing w:before="240" w:after="120" w:line="360" w:lineRule="auto"/>
        <w:jc w:val="both"/>
      </w:pPr>
      <w:r>
        <w:rPr>
          <w:rFonts w:eastAsia="宋体" w:ascii="宋体" w:hAnsi="宋体"/>
          <w:b/>
          <w:sz w:val="28"/>
        </w:rPr>
        <w:t>六、总结</w:t>
      </w:r>
    </w:p>
    <w:p>
      <w:pPr>
        <w:spacing w:before="0" w:after="0" w:line="360" w:lineRule="auto"/>
        <w:ind w:firstLine="420"/>
        <w:jc w:val="both"/>
      </w:pPr>
      <w:r>
        <w:rPr>
          <w:rFonts w:eastAsia="宋体" w:ascii="宋体" w:hAnsi="宋体"/>
          <w:b w:val="0"/>
          <w:sz w:val="21"/>
        </w:rPr>
        <w:t>本报告完成了以下工作：</w:t>
      </w:r>
    </w:p>
    <w:p>
      <w:pPr>
        <w:spacing w:before="0" w:after="0" w:line="360" w:lineRule="auto"/>
        <w:ind w:firstLine="420"/>
        <w:jc w:val="both"/>
      </w:pPr>
      <w:r>
        <w:rPr>
          <w:rFonts w:eastAsia="宋体" w:ascii="宋体" w:hAnsi="宋体"/>
          <w:b w:val="0"/>
          <w:sz w:val="21"/>
        </w:rPr>
        <w:t>(1) 对贵州茅台（600519.SH）的日线数据进行了系统的数据诊断分析，包括缺失值检查、描述性统计、正态性检验和异常值检测。结果表明：数据完整性良好，日收益率分布呈现"左偏、尖峰厚尾"的非正态特征（JB检验p≈0），年化波动率为20.35%，最大回撤为−23.47%。</w:t>
      </w:r>
    </w:p>
    <w:p>
      <w:pPr>
        <w:spacing w:before="0" w:after="0" w:line="360" w:lineRule="auto"/>
        <w:ind w:firstLine="420"/>
        <w:jc w:val="both"/>
      </w:pPr>
      <w:r>
        <w:rPr>
          <w:rFonts w:eastAsia="宋体" w:ascii="宋体" w:hAnsi="宋体"/>
          <w:b w:val="0"/>
          <w:sz w:val="21"/>
        </w:rPr>
        <w:t>(2) 从历史演化、计算公式、参数讨论和信号含义四个维度，系统分析了八个技术指标（RSI、MACD、布林带、ATR、KDJ、MA、CCI、ADX）。每个指标的分析都回溯了其发明人的原始动机和后续的学术/实践演化，强调了参数选择的底层逻辑——参数值映射的是时间尺度和信号敏感度之间的权衡。</w:t>
      </w:r>
    </w:p>
    <w:p>
      <w:pPr>
        <w:spacing w:before="0" w:after="0" w:line="360" w:lineRule="auto"/>
        <w:ind w:firstLine="420"/>
        <w:jc w:val="both"/>
      </w:pPr>
      <w:r>
        <w:rPr>
          <w:rFonts w:eastAsia="宋体" w:ascii="宋体" w:hAnsi="宋体"/>
          <w:b w:val="0"/>
          <w:sz w:val="21"/>
        </w:rPr>
        <w:t>(3) 通过mplfinance和ECharts实现了两种形式的可视化：静态matplotlib图表（7张，用于报告）和交互式HTML看板（用于动态分析）。交互看板支持10只A+H股票的切换、8个指标的独立参数调节和实时图表更新，可作为独立的分析工具使用。</w:t>
      </w:r>
    </w:p>
    <w:p>
      <w:pPr>
        <w:spacing w:before="0" w:after="0" w:line="360" w:lineRule="auto"/>
        <w:ind w:firstLine="420"/>
        <w:jc w:val="both"/>
      </w:pPr>
      <w:r>
        <w:rPr>
          <w:rFonts w:eastAsia="宋体" w:ascii="宋体" w:hAnsi="宋体"/>
          <w:b w:val="0"/>
          <w:sz w:val="21"/>
        </w:rPr>
        <w:t>(4) 建立了指标互补性分析框架：按观察维度将8个指标分为趋势方向、趋势强度、动量速度、波动烈度、极端位置和短期拐点六类，并明确了不同市场状态（震荡市vs趋势市）下各指标的适用性和局限。ADX的值（&gt;25或&lt;20）是切换分析框架的关键分界线。</w:t>
      </w:r>
    </w:p>
    <w:p>
      <w:pPr>
        <w:spacing w:before="0" w:after="0" w:line="360" w:lineRule="auto"/>
        <w:jc w:val="both"/>
      </w:pPr>
      <w:r>
        <w:rPr>
          <w:rFonts w:eastAsia="宋体" w:ascii="宋体" w:hAnsi="宋体"/>
          <w:b w:val="0"/>
          <w:sz w:val="21"/>
        </w:rPr>
      </w:r>
    </w:p>
    <w:p>
      <w:pPr>
        <w:spacing w:before="0" w:after="0" w:line="360" w:lineRule="auto"/>
        <w:ind w:firstLine="420"/>
        <w:jc w:val="both"/>
      </w:pPr>
      <w:r>
        <w:rPr>
          <w:rFonts w:eastAsia="宋体" w:ascii="宋体" w:hAnsi="宋体"/>
          <w:b w:val="0"/>
          <w:sz w:val="21"/>
        </w:rPr>
        <w:t>本研究的主要局限包括：(1) 分析标的以大盘蓝筹股为主，小盘股和成长股的指标行为可能不同；(2) 参数分析仅覆盖了有限的范围，未做全参数空间的网格扫描优化；(3) 指标的历史表现不保证未来信号的有效性——市场结构和参与者行为会随时间演化。后续研究可以考虑：引入机器学习方法对多指标信号进行组合优化，对不同行业和市值规模的标的进行分组对比，以及将本报告中的指标分析框架扩展到更细粒度的时间周期（如小时线和分钟线）。</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jc w:val="both"/>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