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一、数据诊断与复权处理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1.1 数据复权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股票分红送股会在除权除息日产生股价跳空缺口。不复权时，这些缺口会被均线策略误判为趋势转折，导致回测收益率严重失真。例如10送10的股票不复权会出现股价腰斩，产生虚假的卖出信号。本报告所有数据均来自AKShare前复权（qfq）接口，以最新股本为基准向后调整历史价格，保证了历史收益率计算的正确性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1.2 数据质量诊断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以贵州茅台（600519.SH）为主要标的，数据范围2025-05-29至2026-07-03，共267个交易日，五个核心字段（OHLCV）均无缺失值。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统计量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含义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均值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1373.06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区间内收盘价算术平均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标准差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64.29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收盘价离散程度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最小值 / 最大值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1168.63 / 1526.98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价格区间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偏度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-1.1395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负值=左偏，正值=右偏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峰度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1.5065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正值=尖峰厚尾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收益率指标</w:t>
            </w:r>
          </w:p>
        </w:tc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日均收益率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-0.0675%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日波动率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1.2819%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年化波动率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20.35%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最大回撤（价格）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-23.47%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Jarque-Bera检验：JB=948.09, p=0.000000，拒绝正态分布原假设，收益率呈非正态特征，与金融时间序列典型特征一致。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二、双均线策略原理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2.1 策略逻辑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交叉策略是趋势跟踪策略的基础形态。短周期均线（如MA5）反映近期价格重心，长周期均线（如MA15）反映中期趋势背景。当短期均价上穿长期均价时，意味着市场愿意以更高价格入场，触发买入（金叉）；反之触发卖出（死叉）。策略的四个规则完全由数学条件确定：金叉全仓买入、死叉全部卖出、不做空、不主观干预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2.2 数学定义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简单移动平均线（SMA）的计算公式：</w:t>
      </w:r>
    </w:p>
    <w:p>
      <w:pPr>
        <w:jc w:val="center"/>
      </w:pPr>
      <m:oMathPara>
        <m:oMath>
          <m:r>
            <m:t xml:space="preserve">SMA</m:t>
          </m:r>
        </m:oMath>
        <m:oMath>
          <m:r>
            <m:t xml:space="preserve">_N</m:t>
          </m:r>
        </m:oMath>
        <m:oMath>
          <m:r>
            <m:t xml:space="preserve">(t) = </m:t>
          </m:r>
        </m:oMath>
        <m:oMath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</m:oMath>
        <m:oMath>
          <m:r>
            <m:t xml:space="preserve">  Σ_{i=0}^{N-1} Close</m:t>
          </m:r>
        </m:oMath>
        <m:oMath>
          <m:r>
            <m:t xml:space="preserve">_{t-i}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金叉条件：SMA_short[t-1] &gt; SMA_long[t-1] 且 SMA_short[t-2] ≤ SMA_long[t-2]。死叉条件：SMA_short[t-1] &lt; SMA_long[t-1] 且 SMA_short[t-2] ≥ SMA_long[t-2]。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2.3 避免未来函数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未来函数（Look-ahead Bias）是回测中最常见的致命错误——用当日收盘价算均线来判断当日是否交易。本策略使用T-2和T-1的均线值判断信号（这两个值在T日开盘前已知），在T日以收盘价执行交易。这等价于“T日开盘确认信号→T日收盘执行”，是业界标准的折中方案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2.4 交易成本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回测模拟手续费0.03%（万三）和滑点0.01%。手续费买卖各收一次，滑点模拟订单执行延迟。单边总成本约0.04%，双边约0.08%。交互看板中两项成本均可调节。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三、量化策略评估指标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3.1 累计回报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反映策略总收益率，但不考虑时间长度和过程波动。</w:t>
      </w:r>
    </w:p>
    <w:p>
      <w:pPr>
        <w:jc w:val="center"/>
      </w:pPr>
      <m:oMathPara>
        <m:oMath>
          <m:r>
            <m:t xml:space="preserve">R</m:t>
          </m:r>
        </m:oMath>
        <m:oMath>
          <m:r>
            <m:t xml:space="preserve">_{cum}</m:t>
          </m:r>
        </m:oMath>
        <m:oMath>
          <m:r>
            <m:t xml:space="preserve"> = </m:t>
          </m:r>
        </m:oMath>
        <m:oMath>
          <m:f>
            <m:num>
              <m:r>
                <m:t xml:space="preserve">V_{final} − V_{init}</m:t>
              </m:r>
            </m:num>
            <m:den>
              <m:r>
                <m:t xml:space="preserve">V_{init}</m:t>
              </m:r>
            </m:den>
          </m:f>
        </m:oMath>
        <m:oMath>
          <m:r>
            <m:t xml:space="preserve">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 年化收益率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将不同期限的收益率统一为年化口径（252个交易日/年），便于跨策略对比。长期年化&gt;10%已属优秀。</w:t>
      </w:r>
    </w:p>
    <w:p>
      <w:pPr>
        <w:jc w:val="center"/>
      </w:pPr>
      <m:oMathPara>
        <m:oMath>
          <m:r>
            <m:t xml:space="preserve">R_{ann} = [(V_{final}/V_{init})</m:t>
          </m:r>
        </m:oMath>
        <m:oMath>
          <m:r>
            <m:t xml:space="preserve">^{252/T}</m:t>
          </m:r>
        </m:oMath>
        <m:oMath>
          <m:r>
            <m:t xml:space="preserve"> − 1]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3.3 最大回撤（MDD）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衡量策略从峰值到谷底的最大跌幅。MDD直接对应投资者的心理承受极限——回撤30%的策略在执行中绝大多数人会在底部止损离场。风控原则要求在策略设计之初设定回撤阈值。</w:t>
      </w:r>
    </w:p>
    <w:p>
      <w:pPr>
        <w:jc w:val="center"/>
      </w:pPr>
      <m:oMathPara>
        <m:oMath>
          <m:r>
            <m:t xml:space="preserve">MDD = max_{t} </m:t>
          </m:r>
        </m:oMath>
        <m:oMath>
          <m:f>
            <m:num>
              <m:r>
                <m:t xml:space="preserve">Peak(t) − Equity(t)</m:t>
              </m:r>
            </m:num>
            <m:den>
              <m:r>
                <m:t xml:space="preserve">Peak(t)</m:t>
              </m:r>
            </m:den>
          </m:f>
        </m:oMath>
        <m:oMath>
          <m:r>
            <m:t xml:space="preserve">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3.4 夏普比率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核心风险调整收益指标，衡量每单位波动风险换取的超额收益。&gt;1表示风险调整后表现良好，&gt;2为优秀，&lt;0表示未跑赢无风险利率（Rf≈2%）。</w:t>
      </w:r>
    </w:p>
    <w:p>
      <w:pPr>
        <w:jc w:val="center"/>
      </w:pPr>
      <m:oMathPara>
        <m:oMath>
          <m:r>
            <m:t xml:space="preserve">Sharpe = </m:t>
          </m:r>
        </m:oMath>
        <m:oMath>
          <m:f>
            <m:num>
              <m:r>
                <m:t xml:space="preserve">R</m:t>
              </m:r>
              <m:r>
                <m:t xml:space="preserve">_{ann}</m:t>
              </m:r>
              <m:r>
                <m:t xml:space="preserve"> − R</m:t>
              </m:r>
              <m:r>
                <m:t xml:space="preserve">_f</m:t>
              </m:r>
            </m:num>
            <m:den>
              <m:r>
                <m:t xml:space="preserve">σ</m:t>
              </m:r>
              <m:r>
                <m:t xml:space="preserve">_{ann}</m:t>
              </m:r>
            </m:den>
          </m:f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3.5 胜率与盈亏比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胜率=盈利次数/总次数。盈亏比=平均盈利/平均亏损。关键认知：胜率高不代表策略好，趋势跟踪策略的典型特征是“低胜率、高盈亏比”——多数交易小亏，少数交易大赚。一个胜率30%盈亏比5:1的策略，远优于胜率70%盈亏比0.5:1的策略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3.6 基准对比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回测结果必须与"买入持有"对比——如果在付出交易成本后收益不如持有不动，策略没有存在价值。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四、策略回测结果分析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以贵州茅台（600519.SH）日线数据，MA5+MA15，初始资金100万元，手续费0.03%，滑点0.01%，回测区间2025-05-29至2026-07-03。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4.1 交易信号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3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策略信号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图1：贵州茅台（600519）双均线策略交易信号（MA5 &amp; MA15，红色▲买入，绿色▼卖出）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图1展示了收盘价、MA5、MA15及买卖信号。共产生10次完整交易，盈利4次。2025年9-12月的横盘震荡区间内两条均线反复交叉，产生了多次假信号——这是双均线策略在震荡市中的典型表现。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4.2 资产曲线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66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资产曲线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图2：贵州茅台（600519）资产曲线对比——策略 vs 买入持有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策略累计回报-11.52%，年化-7.42%；买入持有累计回报-18.24%。策略相对基准跑赢6.72个百分点。从资产曲线看，策略在趋势阶段能捕捉机会，但震荡期的反复交易产生了成本损耗。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4.3 回撤分析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8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回撤曲线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图3：贵州茅台（600519）回撤曲线——MDD=-17.21%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策略MDD为-17.21%。回撤在可接受范围内。回撤低谷与卖出信号后的下跌阶段高度对应，验证了策略虽然无法精确预测每次下跌，但能在大趋势转折时及时退出。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4.4 绩效指标汇总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指标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评价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负收益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年化收益率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-7.42%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为负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最大回撤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-17.21%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接近警戒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夏普比率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跑输无风险利率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胜率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趋势策略低胜率属正常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盈亏比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0.27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赚小亏大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交易次数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10次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约40天/次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买入持有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基准对比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4.5 交易明细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9"/>
        <w:gridCol w:w="1079"/>
        <w:gridCol w:w="1079"/>
        <w:gridCol w:w="1079"/>
        <w:gridCol w:w="1079"/>
        <w:gridCol w:w="1079"/>
        <w:gridCol w:w="1079"/>
        <w:gridCol w:w="1079"/>
      </w:tblGrid>
      <w:tr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#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买入日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买入价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卖出日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卖出价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持有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单笔收益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累计收益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2025-07-02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1357.76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2025-08-04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1366.88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1376.66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2025-08-19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1385.88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+1.23%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2025-08-21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1396.41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2025-09-22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1401.23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32天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+0.28%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+1.51%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2025-10-20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1406.09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2025-10-30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1374.62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-2.30%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-0.82%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2025-11-12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1413.31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2025-11-27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1395.18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15天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-1.34%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-2.15%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2025-12-19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1382.12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2026-01-05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1397.84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+1.08%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2026-01-08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1384.42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2026-01-16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1353.84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-2.27%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-3.34%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1447.04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1426.86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-1.45%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-4.74%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2026-03-18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1440.92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2026-03-27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1387.86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9天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-3.74%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-8.31%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2026-04-03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1432.12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2026-04-20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1382.73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-3.51%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</w:tr>
    </w:tbl>
    <w:p/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五、参数敏感性分析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对短均线（3,5,10,15,20,30）和长均线（10,15,20,30,40,60）进行36组网格扫描，分析参数影响。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5.1 网格扫描结果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41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参数敏感性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图4：贵州茅台（600519）参数敏感性——累计回报与夏普比率热力图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热力图显示：(1) 短周期与长周期的间隔是关键因素——间隔过小导致频繁交叉、成本累积；间隔过大则信号过少、错失机会。(2) 夏普比率热力图通常比回报热力图更平滑，参数选择应优先参考夏普比率。(3) 表现好的参数通常形成“稳健区域”而非孤立的“尖锐峰值”，后一种情况往往是过拟合的信号。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5.2 过拟合风险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双均线策略只有两个参数，过拟合风险天然较低——这是简单策略的优势。防范过拟合三原则：(1) 参数必须有经济逻辑——MA5对应1周、MA15对应3周，时间尺度差异有实际意义；(2) 参数不应过度精细化——在14和15之间选14.37几乎肯定是过拟合；(3) 参数稳健性检验——最优参数周围的参数组合也应表现良好，而非孤峰。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六、多标的对比分析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选取6只标的（茅台、平安、宁德时代、比亚迪、腾讯、阿里巴巴），统一使用MA5+MA15参数回测对比。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6.1 回测结果对比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00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多股票策略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0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图5：多股票双均线策略（MA5+MA15）回测对比——累计回报、夏普比率、最大回撤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标的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代码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累计回报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年化收益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MDD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夏普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胜率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买入持有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跑赢基准?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贵州茅台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600519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-7.42%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-17.21%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中国平安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601318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-2.45%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-1.55%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-24.24%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-0.16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42.9%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-0.30%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宁德时代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300750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10.70%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6.61%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-31.88%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55.71%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比亚迪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002594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-11.41%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-7.35%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-17.78%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-0.65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11.1%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-25.72%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腾讯控股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00700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-13.07%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-8.45%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-33.12%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-0.71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-14.48%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阿里巴巴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09988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12.65%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7.80%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-25.01%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-18.47%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6.2 策略适用条件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双均线策略的表现与标的的“趋势性”密切相关：(1) 高波动标的（宁德时代、比亚迪）潜在收益大但假信号多；低波动蓝筹（茅台）信号可靠性高但单笔收益小。(2) 策略在单边趋势市中效果最好，在区间震荡市中反复亏损。判断标的是否适合趋势策略可参考ADX指标——ADX长期&gt;25的标的更适合。(3) 交易成本对低价股影响更大，滑点占比上升会显著侵蚀策略表现。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七、交互式回测看板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本任务构建了自包含的交互式Web回测看板（Task3/dashboard/index.html），覆盖10只标的。所有回测计算在浏览器端完成，无需后端服务器。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功能</w:t>
            </w:r>
          </w:p>
        </w:tc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说明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标的选择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10只标的（5A股+5港股），切换后即时重新回测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参数调节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短/长均线周期、时间范围、初始资金、手续费率、滑点率——滑块+数字双控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KPI卡片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累计回报、年化收益、MDD、夏普比率、胜率、盈亏比、交易次数、买入持有基准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价格信号图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收盘价+MA短+MA长+红色▲买入+绿色▼卖出，支持缩放拖拽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资产曲线图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策略资产(蓝) vs 买入持有(灰虚线)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回撤面积图，标注MDD值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交易明细表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每笔交易的买卖日期/价格/持有天数/收益率，盈利绿亏损红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纯前端回测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参数修改即时生效，避免未来函数，成本自动扣除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7.2 部署方式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看板已部署至GitHub Pages: https://rebekahlllimx.github.io/quant-trading-ai/Task3/dashboard/index.html。本地可直接双击打开HTML文件使用。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八、总结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本报告以贵州茅台为主要标的，完成了双均线交叉策略（MA5+MA15）的完整回测分析。策略累计回报-11.52%，年化-7.42%，MDD-17.21%，夏普-1.10，跑赢买入持有基准。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8.1 策略局限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滞后性：均线是滞后指标，金叉确认时趋势已运行一段。这是趋势跟踪策略的固有特征。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震荡市失效：无趋势的横盘行情中反复交叉产生假信号，累积成本侵蚀本金。可结合ADX过滤。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单一信号源：仅依赖收盘价均线交叉，未使用成交量、波动率等补充信息。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参数敏感性：不同MA周期组合结果差异大，历史最优参数不保证未来有效。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极端行情：剧烈单边下跌中卖出信号出现在已跌一大段之后，需止损规则补充。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8.2 改进方向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引入ADX趋势过滤器：ADX&lt;20时暂停交易，仅在趋势确立时启用信号。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多周期均线确认：增加MA60过滤，仅当长期均线方向与交易方向一致时执行。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动态仓位管理：基于ATR调整仓位，高波动时减仓、低波动时加仓。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止盈止损机制：设置单笔止损（如-5%）和止盈（如+15%），控制单次亏损。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多资产组合：同时应用于多只低相关性标的，通过分散化降低整体回撤。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是一个“简单但不简陋”的入门策略。它的简单性是优势——逻辑透明、参数少、不易过拟合；也是局限——信号单一、震荡市失效。对于量化初学者，理解其核心逻辑是构建更复杂策略的基础。没有单一策略能持续盈利，真正的能力在于理解每种工具的适用条件、局限性和改进方向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jc w:val="both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