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786B" w14:textId="0DBCB3F8" w:rsidR="00BE2910" w:rsidRPr="003038CD" w:rsidRDefault="00CC5A04">
      <w:pPr>
        <w:rPr>
          <w:b/>
          <w:bCs/>
          <w:color w:val="404040" w:themeColor="text1" w:themeTint="BF"/>
          <w:sz w:val="32"/>
          <w:szCs w:val="32"/>
          <w:lang w:val="en-US"/>
        </w:rPr>
      </w:pPr>
      <w:r w:rsidRPr="003038CD">
        <w:rPr>
          <w:b/>
          <w:bCs/>
          <w:color w:val="404040" w:themeColor="text1" w:themeTint="BF"/>
          <w:sz w:val="32"/>
          <w:szCs w:val="32"/>
          <w:lang w:val="en-US"/>
        </w:rPr>
        <w:t>Bond Analysis</w:t>
      </w:r>
    </w:p>
    <w:p w14:paraId="61D85F4E" w14:textId="77777777" w:rsidR="00144018" w:rsidRDefault="00144018">
      <w:pPr>
        <w:rPr>
          <w:b/>
          <w:bCs/>
          <w:color w:val="C00000"/>
          <w:lang w:val="en-US"/>
        </w:rPr>
      </w:pPr>
    </w:p>
    <w:p w14:paraId="5E0FDA82" w14:textId="03AEBEBF" w:rsidR="00775BFD" w:rsidRPr="0074000C" w:rsidRDefault="00775BFD">
      <w:pPr>
        <w:rPr>
          <w:b/>
          <w:bCs/>
          <w:color w:val="C00000"/>
          <w:lang w:val="en-US"/>
        </w:rPr>
      </w:pPr>
      <w:r w:rsidRPr="0074000C">
        <w:rPr>
          <w:b/>
          <w:bCs/>
          <w:color w:val="C00000"/>
          <w:lang w:val="en-US"/>
        </w:rPr>
        <w:t>Research Question</w:t>
      </w:r>
    </w:p>
    <w:p w14:paraId="416093A6" w14:textId="763E7DA9" w:rsidR="00775BFD" w:rsidRDefault="00775BFD">
      <w:pPr>
        <w:rPr>
          <w:lang w:val="en-US"/>
        </w:rPr>
      </w:pPr>
      <w:r>
        <w:rPr>
          <w:lang w:val="en-US"/>
        </w:rPr>
        <w:t>Considering current bond metrics (risk vs. return parameters) which would be the optimal bucket to go long when adding duration?</w:t>
      </w:r>
    </w:p>
    <w:p w14:paraId="0BD80DFE" w14:textId="77777777" w:rsidR="00144018" w:rsidRDefault="00144018">
      <w:pPr>
        <w:rPr>
          <w:b/>
          <w:bCs/>
          <w:color w:val="C00000"/>
          <w:lang w:val="en-US"/>
        </w:rPr>
      </w:pPr>
    </w:p>
    <w:p w14:paraId="2E4C4F02" w14:textId="1E4B6EE5" w:rsidR="00CC5A04" w:rsidRPr="0074000C" w:rsidRDefault="00EA6F68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Findings</w:t>
      </w:r>
    </w:p>
    <w:p w14:paraId="3F4A5F2D" w14:textId="062FA9A1" w:rsidR="0008764A" w:rsidRDefault="0008764A">
      <w:pPr>
        <w:rPr>
          <w:lang w:val="en-US"/>
        </w:rPr>
      </w:pPr>
      <w:r>
        <w:rPr>
          <w:lang w:val="en-US"/>
        </w:rPr>
        <w:t xml:space="preserve">Utilizing prevailing </w:t>
      </w:r>
      <w:r w:rsidR="00775BFD">
        <w:rPr>
          <w:lang w:val="en-US"/>
        </w:rPr>
        <w:t>bond</w:t>
      </w:r>
      <w:r>
        <w:rPr>
          <w:lang w:val="en-US"/>
        </w:rPr>
        <w:t xml:space="preserve"> </w:t>
      </w:r>
      <w:r w:rsidR="00775BFD">
        <w:rPr>
          <w:lang w:val="en-US"/>
        </w:rPr>
        <w:t xml:space="preserve">yields and price sensitivities, we </w:t>
      </w:r>
      <w:r>
        <w:rPr>
          <w:lang w:val="en-US"/>
        </w:rPr>
        <w:t xml:space="preserve">determined the Sharpe Ratio of specific bonds across the SA </w:t>
      </w:r>
      <w:proofErr w:type="spellStart"/>
      <w:r>
        <w:rPr>
          <w:lang w:val="en-US"/>
        </w:rPr>
        <w:t>Govi</w:t>
      </w:r>
      <w:proofErr w:type="spellEnd"/>
      <w:r>
        <w:rPr>
          <w:lang w:val="en-US"/>
        </w:rPr>
        <w:t xml:space="preserve"> curve. The bonds selected ranged from 1 year (Treasury-Bills) to 30 years (R2053</w:t>
      </w:r>
      <w:r w:rsidR="003038CD">
        <w:rPr>
          <w:lang w:val="en-US"/>
        </w:rPr>
        <w:t xml:space="preserve"> bond</w:t>
      </w:r>
      <w:r>
        <w:rPr>
          <w:lang w:val="en-US"/>
        </w:rPr>
        <w:t>) and were used as proxies for various maturity buckets along the curve.</w:t>
      </w:r>
    </w:p>
    <w:p w14:paraId="50ED6908" w14:textId="04C50466" w:rsidR="00A07D99" w:rsidRDefault="00A07D99">
      <w:pPr>
        <w:rPr>
          <w:lang w:val="en-US"/>
        </w:rPr>
      </w:pPr>
      <w:r>
        <w:rPr>
          <w:lang w:val="en-US"/>
        </w:rPr>
        <w:t xml:space="preserve">In addition, the </w:t>
      </w:r>
      <w:r w:rsidR="00EC42D3">
        <w:rPr>
          <w:lang w:val="en-US"/>
        </w:rPr>
        <w:t xml:space="preserve">calculated </w:t>
      </w:r>
      <w:r>
        <w:rPr>
          <w:lang w:val="en-US"/>
        </w:rPr>
        <w:t>Sharpe Ratio measured the</w:t>
      </w:r>
      <w:r w:rsidR="003038CD">
        <w:rPr>
          <w:lang w:val="en-US"/>
        </w:rPr>
        <w:t xml:space="preserve"> </w:t>
      </w:r>
      <w:r>
        <w:rPr>
          <w:lang w:val="en-US"/>
        </w:rPr>
        <w:t xml:space="preserve">excess return </w:t>
      </w:r>
      <w:r w:rsidR="003038CD">
        <w:rPr>
          <w:lang w:val="en-US"/>
        </w:rPr>
        <w:t xml:space="preserve">of each bond </w:t>
      </w:r>
      <w:r>
        <w:rPr>
          <w:lang w:val="en-US"/>
        </w:rPr>
        <w:t xml:space="preserve">over the current SA Repo Rate (8.25%) relative to </w:t>
      </w:r>
      <w:r w:rsidR="003038CD">
        <w:rPr>
          <w:lang w:val="en-US"/>
        </w:rPr>
        <w:t xml:space="preserve">its </w:t>
      </w:r>
      <w:r w:rsidR="00D44B58">
        <w:rPr>
          <w:lang w:val="en-US"/>
        </w:rPr>
        <w:t xml:space="preserve">risk </w:t>
      </w:r>
      <w:r w:rsidR="00EC42D3">
        <w:rPr>
          <w:lang w:val="en-US"/>
        </w:rPr>
        <w:t>or</w:t>
      </w:r>
      <w:r w:rsidR="003038CD">
        <w:rPr>
          <w:lang w:val="en-US"/>
        </w:rPr>
        <w:t xml:space="preserve"> </w:t>
      </w:r>
      <w:r w:rsidR="00D44B58">
        <w:rPr>
          <w:lang w:val="en-US"/>
        </w:rPr>
        <w:t>Rand Per Basis Point (RPBP</w:t>
      </w:r>
      <w:r w:rsidR="001D24D6">
        <w:rPr>
          <w:rStyle w:val="FootnoteReference"/>
          <w:lang w:val="en-US"/>
        </w:rPr>
        <w:footnoteReference w:id="1"/>
      </w:r>
      <w:r w:rsidR="00D44B58">
        <w:rPr>
          <w:lang w:val="en-US"/>
        </w:rPr>
        <w:t>).</w:t>
      </w:r>
      <w:r w:rsidR="003038CD">
        <w:rPr>
          <w:lang w:val="en-US"/>
        </w:rPr>
        <w:t xml:space="preserve"> </w:t>
      </w:r>
    </w:p>
    <w:p w14:paraId="21F3B2FC" w14:textId="1D262BD1" w:rsidR="00144018" w:rsidRDefault="003038CD">
      <w:pPr>
        <w:rPr>
          <w:lang w:val="en-US"/>
        </w:rPr>
      </w:pPr>
      <w:r>
        <w:rPr>
          <w:lang w:val="en-US"/>
        </w:rPr>
        <w:t xml:space="preserve">Our analysis shows that given current bond yields and risk numbers, the 20-year bucket (represented by the R2044 bond) produced the highest Sharpe Ratio and consequently the optimal risk adjusted return from the </w:t>
      </w:r>
      <w:proofErr w:type="spellStart"/>
      <w:r>
        <w:rPr>
          <w:lang w:val="en-US"/>
        </w:rPr>
        <w:t>Govi</w:t>
      </w:r>
      <w:proofErr w:type="spellEnd"/>
      <w:r>
        <w:rPr>
          <w:lang w:val="en-US"/>
        </w:rPr>
        <w:t xml:space="preserve"> bonds considered.</w:t>
      </w:r>
    </w:p>
    <w:p w14:paraId="1E20C626" w14:textId="77777777" w:rsidR="00144018" w:rsidRDefault="00144018" w:rsidP="001440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6CE04" wp14:editId="713A3E46">
            <wp:extent cx="5729988" cy="1323833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87" cy="13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1FDC" w14:textId="77777777" w:rsidR="00144018" w:rsidRDefault="00144018" w:rsidP="00144018">
      <w:pPr>
        <w:rPr>
          <w:b/>
          <w:bCs/>
          <w:color w:val="C00000"/>
          <w:lang w:val="en-US"/>
        </w:rPr>
      </w:pPr>
    </w:p>
    <w:p w14:paraId="1CA1C586" w14:textId="7A9D915A" w:rsidR="00144018" w:rsidRDefault="00144018" w:rsidP="00144018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Analysis</w:t>
      </w:r>
    </w:p>
    <w:p w14:paraId="4285021C" w14:textId="4BDB5701" w:rsidR="00144018" w:rsidRDefault="00144018" w:rsidP="00144018">
      <w:pPr>
        <w:rPr>
          <w:lang w:val="en-US"/>
        </w:rPr>
      </w:pPr>
      <w:r>
        <w:rPr>
          <w:lang w:val="en-US"/>
        </w:rPr>
        <w:t xml:space="preserve">In addition to determining the optimal maturity bucket, we also looked at the optimal </w:t>
      </w:r>
      <w:r w:rsidR="007A6ACE">
        <w:rPr>
          <w:lang w:val="en-US"/>
        </w:rPr>
        <w:t xml:space="preserve">bucket </w:t>
      </w:r>
      <w:r>
        <w:rPr>
          <w:lang w:val="en-US"/>
        </w:rPr>
        <w:t>allocation</w:t>
      </w:r>
      <w:r w:rsidR="009D4FA6">
        <w:rPr>
          <w:lang w:val="en-US"/>
        </w:rPr>
        <w:t xml:space="preserve"> that matched the</w:t>
      </w:r>
      <w:r w:rsidR="007A6ACE">
        <w:rPr>
          <w:lang w:val="en-US"/>
        </w:rPr>
        <w:t xml:space="preserve"> portfolio</w:t>
      </w:r>
      <w:r w:rsidR="009D4FA6">
        <w:rPr>
          <w:lang w:val="en-US"/>
        </w:rPr>
        <w:t xml:space="preserve"> yield </w:t>
      </w:r>
      <w:r w:rsidR="007A6ACE">
        <w:rPr>
          <w:lang w:val="en-US"/>
        </w:rPr>
        <w:t>to that of</w:t>
      </w:r>
      <w:r w:rsidR="009D4FA6">
        <w:rPr>
          <w:lang w:val="en-US"/>
        </w:rPr>
        <w:t xml:space="preserve"> the </w:t>
      </w:r>
      <w:proofErr w:type="gramStart"/>
      <w:r w:rsidR="007A6ACE">
        <w:rPr>
          <w:lang w:val="en-US"/>
        </w:rPr>
        <w:t>ALL</w:t>
      </w:r>
      <w:r w:rsidR="00A31BAD">
        <w:rPr>
          <w:lang w:val="en-US"/>
        </w:rPr>
        <w:t xml:space="preserve"> </w:t>
      </w:r>
      <w:r w:rsidR="007A6ACE">
        <w:rPr>
          <w:lang w:val="en-US"/>
        </w:rPr>
        <w:t>BOND</w:t>
      </w:r>
      <w:proofErr w:type="gramEnd"/>
      <w:r w:rsidR="009D4FA6">
        <w:rPr>
          <w:lang w:val="en-US"/>
        </w:rPr>
        <w:t xml:space="preserve"> INDEX (ALBI)</w:t>
      </w:r>
      <w:r w:rsidR="007A6ACE">
        <w:rPr>
          <w:lang w:val="en-US"/>
        </w:rPr>
        <w:t xml:space="preserve">. Using the Sep-23 index weights (and BESA closing prices from 30-Aug-23), we </w:t>
      </w:r>
      <w:r w:rsidR="00AB326F">
        <w:rPr>
          <w:lang w:val="en-US"/>
        </w:rPr>
        <w:t>calculated</w:t>
      </w:r>
      <w:r w:rsidR="007A6ACE">
        <w:rPr>
          <w:lang w:val="en-US"/>
        </w:rPr>
        <w:t xml:space="preserve"> the yield on the ALBI to be</w:t>
      </w:r>
      <w:r w:rsidR="00B15ADC">
        <w:rPr>
          <w:lang w:val="en-US"/>
        </w:rPr>
        <w:t xml:space="preserve"> roughly 11.04% with an MD of </w:t>
      </w:r>
      <w:r w:rsidR="00E208CF">
        <w:rPr>
          <w:lang w:val="en-US"/>
        </w:rPr>
        <w:t xml:space="preserve">roughly </w:t>
      </w:r>
      <w:r w:rsidR="00B15ADC">
        <w:rPr>
          <w:lang w:val="en-US"/>
        </w:rPr>
        <w:t>5.77 and a RPBP of R470.04 (~5bps o</w:t>
      </w:r>
      <w:r w:rsidR="004D5838">
        <w:rPr>
          <w:lang w:val="en-US"/>
        </w:rPr>
        <w:t>r</w:t>
      </w:r>
      <w:r w:rsidR="00B15ADC">
        <w:rPr>
          <w:lang w:val="en-US"/>
        </w:rPr>
        <w:t xml:space="preserve"> 0.05%)</w:t>
      </w:r>
      <w:r w:rsidR="00AB326F">
        <w:rPr>
          <w:lang w:val="en-US"/>
        </w:rPr>
        <w:t xml:space="preserve"> – please see Appendix for calculation breakdown.</w:t>
      </w:r>
    </w:p>
    <w:p w14:paraId="2C4752AB" w14:textId="020241B1" w:rsidR="00AB326F" w:rsidRDefault="00AB326F" w:rsidP="00144018">
      <w:pPr>
        <w:rPr>
          <w:lang w:val="en-US"/>
        </w:rPr>
      </w:pPr>
      <w:r>
        <w:rPr>
          <w:lang w:val="en-US"/>
        </w:rPr>
        <w:t xml:space="preserve">Following this we then ran our optimization model that worked out the optimal bond allocation </w:t>
      </w:r>
      <w:r w:rsidR="004D5838">
        <w:rPr>
          <w:lang w:val="en-US"/>
        </w:rPr>
        <w:t xml:space="preserve">(from the bonds considered in our analysis) </w:t>
      </w:r>
      <w:r>
        <w:rPr>
          <w:lang w:val="en-US"/>
        </w:rPr>
        <w:t>that would</w:t>
      </w:r>
      <w:r w:rsidR="004D5838">
        <w:rPr>
          <w:lang w:val="en-US"/>
        </w:rPr>
        <w:t xml:space="preserve"> both</w:t>
      </w:r>
      <w:r>
        <w:rPr>
          <w:lang w:val="en-US"/>
        </w:rPr>
        <w:t xml:space="preserve"> match the 11% ALBI yield </w:t>
      </w:r>
      <w:r w:rsidR="004D5838">
        <w:rPr>
          <w:lang w:val="en-US"/>
        </w:rPr>
        <w:t>and</w:t>
      </w:r>
      <w:r>
        <w:rPr>
          <w:lang w:val="en-US"/>
        </w:rPr>
        <w:t xml:space="preserve"> maximiz</w:t>
      </w:r>
      <w:r w:rsidR="004D5838">
        <w:rPr>
          <w:lang w:val="en-US"/>
        </w:rPr>
        <w:t>e</w:t>
      </w:r>
      <w:r>
        <w:rPr>
          <w:lang w:val="en-US"/>
        </w:rPr>
        <w:t xml:space="preserve"> the portfolio’s Sharpe Ratio.  </w:t>
      </w:r>
    </w:p>
    <w:p w14:paraId="2B3EBCF9" w14:textId="77777777" w:rsidR="009940C9" w:rsidRDefault="009940C9" w:rsidP="00144018">
      <w:pPr>
        <w:rPr>
          <w:lang w:val="en-US"/>
        </w:rPr>
      </w:pPr>
    </w:p>
    <w:p w14:paraId="28BA1A6C" w14:textId="583C3725" w:rsidR="00144018" w:rsidRPr="00107E30" w:rsidRDefault="00EA6F68" w:rsidP="00144018">
      <w:pPr>
        <w:rPr>
          <w:lang w:val="en-US"/>
        </w:rPr>
      </w:pPr>
      <w:r>
        <w:rPr>
          <w:lang w:val="en-US"/>
        </w:rPr>
        <w:lastRenderedPageBreak/>
        <w:t xml:space="preserve">Not surprisingly, </w:t>
      </w:r>
      <w:r w:rsidR="00107E30">
        <w:rPr>
          <w:lang w:val="en-US"/>
        </w:rPr>
        <w:t>our optimization model produced a 63% allocation to the 20-year bucket (R2044 bond) with the remaining 37% assigned to 1-year Treasury Bill</w:t>
      </w:r>
      <w:r w:rsidR="00E208CF">
        <w:rPr>
          <w:lang w:val="en-US"/>
        </w:rPr>
        <w:t>s</w:t>
      </w:r>
      <w:r w:rsidR="00107E30">
        <w:rPr>
          <w:lang w:val="en-US"/>
        </w:rPr>
        <w:t>. This resulted in a RPBP of R393 (~4bps or 0.04%) and was a margin</w:t>
      </w:r>
      <w:r w:rsidR="00E208CF">
        <w:rPr>
          <w:lang w:val="en-US"/>
        </w:rPr>
        <w:t>al</w:t>
      </w:r>
      <w:r w:rsidR="00107E30">
        <w:rPr>
          <w:lang w:val="en-US"/>
        </w:rPr>
        <w:t xml:space="preserve"> improvement on a risk adjusted level when compared to the ALBI.</w:t>
      </w:r>
    </w:p>
    <w:p w14:paraId="070D19C1" w14:textId="77777777" w:rsidR="00144018" w:rsidRDefault="00144018">
      <w:pPr>
        <w:rPr>
          <w:lang w:val="en-US"/>
        </w:rPr>
      </w:pPr>
    </w:p>
    <w:p w14:paraId="606E9C40" w14:textId="01F9F11C" w:rsidR="001914A7" w:rsidRDefault="00EA6F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197C4" wp14:editId="38CF84A9">
            <wp:extent cx="5779827" cy="25943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75" cy="26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B127" w14:textId="0093EAD2" w:rsidR="001914A7" w:rsidRDefault="001914A7">
      <w:pPr>
        <w:rPr>
          <w:lang w:val="en-US"/>
        </w:rPr>
      </w:pPr>
    </w:p>
    <w:p w14:paraId="177D7583" w14:textId="2758077F" w:rsidR="003B4FE6" w:rsidRDefault="00AF3319" w:rsidP="004213FB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Bond Sensitivity</w:t>
      </w:r>
      <w:r w:rsidR="003B4FE6">
        <w:rPr>
          <w:b/>
          <w:bCs/>
          <w:color w:val="C00000"/>
          <w:lang w:val="en-US"/>
        </w:rPr>
        <w:t xml:space="preserve"> Considerations</w:t>
      </w:r>
    </w:p>
    <w:p w14:paraId="65A8CB88" w14:textId="31EBF4E6" w:rsidR="00691D4D" w:rsidRDefault="00AF3319" w:rsidP="004213FB">
      <w:pPr>
        <w:rPr>
          <w:lang w:val="en-US"/>
        </w:rPr>
      </w:pPr>
      <w:proofErr w:type="gramStart"/>
      <w:r w:rsidRPr="00AF3319">
        <w:rPr>
          <w:lang w:val="en-US"/>
        </w:rPr>
        <w:t>Generally speaking</w:t>
      </w:r>
      <w:r>
        <w:rPr>
          <w:lang w:val="en-US"/>
        </w:rPr>
        <w:t>, a</w:t>
      </w:r>
      <w:proofErr w:type="gramEnd"/>
      <w:r>
        <w:rPr>
          <w:lang w:val="en-US"/>
        </w:rPr>
        <w:t xml:space="preserve"> bonds Modified Duration is only a good approximation</w:t>
      </w:r>
      <w:r w:rsidR="00691D4D">
        <w:rPr>
          <w:lang w:val="en-US"/>
        </w:rPr>
        <w:t xml:space="preserve"> </w:t>
      </w:r>
      <w:r w:rsidR="0078564E">
        <w:rPr>
          <w:lang w:val="en-US"/>
        </w:rPr>
        <w:t>(</w:t>
      </w:r>
      <w:r w:rsidR="00DA5B8C">
        <w:rPr>
          <w:lang w:val="en-US"/>
        </w:rPr>
        <w:t>of</w:t>
      </w:r>
      <w:r w:rsidR="00691D4D">
        <w:rPr>
          <w:lang w:val="en-US"/>
        </w:rPr>
        <w:t xml:space="preserve"> a</w:t>
      </w:r>
      <w:r w:rsidR="00DA5B8C">
        <w:rPr>
          <w:lang w:val="en-US"/>
        </w:rPr>
        <w:t xml:space="preserve"> </w:t>
      </w:r>
      <w:r w:rsidR="0078564E">
        <w:rPr>
          <w:lang w:val="en-US"/>
        </w:rPr>
        <w:t>bond’s</w:t>
      </w:r>
      <w:r w:rsidR="00691D4D">
        <w:rPr>
          <w:lang w:val="en-US"/>
        </w:rPr>
        <w:t xml:space="preserve"> price change</w:t>
      </w:r>
      <w:r w:rsidR="0078564E">
        <w:rPr>
          <w:lang w:val="en-US"/>
        </w:rPr>
        <w:t>)</w:t>
      </w:r>
      <w:r w:rsidR="00691D4D">
        <w:rPr>
          <w:lang w:val="en-US"/>
        </w:rPr>
        <w:t xml:space="preserve"> for small movements in</w:t>
      </w:r>
      <w:r w:rsidR="00DA5B8C">
        <w:rPr>
          <w:lang w:val="en-US"/>
        </w:rPr>
        <w:t xml:space="preserve"> </w:t>
      </w:r>
      <w:r w:rsidR="00691D4D">
        <w:rPr>
          <w:lang w:val="en-US"/>
        </w:rPr>
        <w:t>yields. For large yield changes, one would need to make a convexity adjustment given that the relationship between price vs. yield for vanilla bond</w:t>
      </w:r>
      <w:r w:rsidR="00DA5B8C">
        <w:rPr>
          <w:lang w:val="en-US"/>
        </w:rPr>
        <w:t>s</w:t>
      </w:r>
      <w:r w:rsidR="00691D4D">
        <w:rPr>
          <w:lang w:val="en-US"/>
        </w:rPr>
        <w:t xml:space="preserve"> i</w:t>
      </w:r>
      <w:r w:rsidR="00DA5B8C">
        <w:rPr>
          <w:lang w:val="en-US"/>
        </w:rPr>
        <w:t>s</w:t>
      </w:r>
      <w:r w:rsidR="00691D4D">
        <w:rPr>
          <w:lang w:val="en-US"/>
        </w:rPr>
        <w:t xml:space="preserve"> convex.</w:t>
      </w:r>
    </w:p>
    <w:p w14:paraId="1007544B" w14:textId="5D698A17" w:rsidR="003B4FE6" w:rsidRDefault="00691D4D" w:rsidP="004213FB">
      <w:pPr>
        <w:rPr>
          <w:lang w:val="en-US"/>
        </w:rPr>
      </w:pPr>
      <w:r>
        <w:rPr>
          <w:lang w:val="en-US"/>
        </w:rPr>
        <w:t>Additionally, w</w:t>
      </w:r>
      <w:r w:rsidR="003B4FE6">
        <w:rPr>
          <w:lang w:val="en-US"/>
        </w:rPr>
        <w:t xml:space="preserve">hen looking at the convexity adjustment, it is useful to compare the fixed coupon rate to the bonds current Yield-To-Maturity (YTM). In most cases the bigger the difference between these rates the bigger the convexity adjustment for the bond. </w:t>
      </w:r>
    </w:p>
    <w:p w14:paraId="204BBF15" w14:textId="0F5393B7" w:rsidR="00DA5B8C" w:rsidRDefault="00691D4D" w:rsidP="004213FB">
      <w:pPr>
        <w:rPr>
          <w:lang w:val="en-US"/>
        </w:rPr>
      </w:pPr>
      <w:r>
        <w:rPr>
          <w:lang w:val="en-US"/>
        </w:rPr>
        <w:t>With this in mind, we have also shown</w:t>
      </w:r>
      <w:r w:rsidR="00DA036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8A4709">
        <w:rPr>
          <w:lang w:val="en-US"/>
        </w:rPr>
        <w:t xml:space="preserve">bonds </w:t>
      </w:r>
      <w:r>
        <w:rPr>
          <w:lang w:val="en-US"/>
        </w:rPr>
        <w:t xml:space="preserve">Capital Returns and corresponding Total Returns for various yield changes </w:t>
      </w:r>
      <w:r w:rsidR="00DA5B8C">
        <w:rPr>
          <w:lang w:val="en-US"/>
        </w:rPr>
        <w:t xml:space="preserve">in the appendix. Interestingly, we note that the convexity adjustment appears to be more prominent for the longer dated bonds considered. Another factor contributing to </w:t>
      </w:r>
      <w:r w:rsidR="008A4709">
        <w:rPr>
          <w:lang w:val="en-US"/>
        </w:rPr>
        <w:t>the higher convexity</w:t>
      </w:r>
      <w:r w:rsidR="00DA5B8C">
        <w:rPr>
          <w:lang w:val="en-US"/>
        </w:rPr>
        <w:t xml:space="preserve"> is the high</w:t>
      </w:r>
      <w:r w:rsidR="008A4709">
        <w:rPr>
          <w:lang w:val="en-US"/>
        </w:rPr>
        <w:t>er</w:t>
      </w:r>
      <w:r w:rsidR="00DA5B8C">
        <w:rPr>
          <w:lang w:val="en-US"/>
        </w:rPr>
        <w:t xml:space="preserve"> bond yields relative to the</w:t>
      </w:r>
      <w:r w:rsidR="008A4709">
        <w:rPr>
          <w:lang w:val="en-US"/>
        </w:rPr>
        <w:t xml:space="preserve"> coupons.</w:t>
      </w:r>
      <w:r w:rsidR="00DA5B8C">
        <w:rPr>
          <w:lang w:val="en-US"/>
        </w:rPr>
        <w:t xml:space="preserve"> </w:t>
      </w:r>
    </w:p>
    <w:p w14:paraId="1920CEF9" w14:textId="7CA1FC6A" w:rsidR="00691D4D" w:rsidRDefault="008A4709" w:rsidP="004213FB">
      <w:pPr>
        <w:rPr>
          <w:lang w:val="en-US"/>
        </w:rPr>
      </w:pPr>
      <w:r>
        <w:rPr>
          <w:lang w:val="en-US"/>
        </w:rPr>
        <w:t>Lastly, for completeness, we’ve also shown graphs for the various bond’s statistics.</w:t>
      </w:r>
    </w:p>
    <w:p w14:paraId="0F837E1C" w14:textId="77777777" w:rsidR="002A6437" w:rsidRDefault="002A6437" w:rsidP="002A6437">
      <w:pPr>
        <w:rPr>
          <w:lang w:val="en-US"/>
        </w:rPr>
      </w:pPr>
    </w:p>
    <w:p w14:paraId="2B1C5FDA" w14:textId="368460D4" w:rsidR="002A6437" w:rsidRPr="002A6437" w:rsidRDefault="002A6437" w:rsidP="002A6437">
      <w:pPr>
        <w:rPr>
          <w:b/>
          <w:bCs/>
          <w:color w:val="C00000"/>
          <w:lang w:val="en-US"/>
        </w:rPr>
      </w:pPr>
      <w:r w:rsidRPr="002A6437">
        <w:rPr>
          <w:b/>
          <w:bCs/>
          <w:color w:val="C00000"/>
          <w:lang w:val="en-US"/>
        </w:rPr>
        <w:t>BOND OPTIMIZER APP</w:t>
      </w:r>
    </w:p>
    <w:p w14:paraId="3D8B7465" w14:textId="728DEED1" w:rsidR="002A6437" w:rsidRDefault="002A6437" w:rsidP="002A6437">
      <w:pPr>
        <w:rPr>
          <w:b/>
          <w:bCs/>
          <w:color w:val="404040" w:themeColor="text1" w:themeTint="BF"/>
          <w:lang w:val="en-US"/>
        </w:rPr>
      </w:pPr>
      <w:r>
        <w:rPr>
          <w:b/>
          <w:bCs/>
          <w:color w:val="404040" w:themeColor="text1" w:themeTint="BF"/>
          <w:lang w:val="en-US"/>
        </w:rPr>
        <w:t>T</w:t>
      </w:r>
      <w:r w:rsidRPr="002A6437">
        <w:rPr>
          <w:lang w:val="en-US"/>
        </w:rPr>
        <w:t xml:space="preserve">he </w:t>
      </w:r>
      <w:r>
        <w:rPr>
          <w:lang w:val="en-US"/>
        </w:rPr>
        <w:t>link below takes you to the software built for this analysis. Please feel free to open and play-around with the application.</w:t>
      </w:r>
    </w:p>
    <w:p w14:paraId="750E8286" w14:textId="212D83DC" w:rsidR="002A6437" w:rsidRPr="002A6437" w:rsidRDefault="002A6437" w:rsidP="002A6437">
      <w:pPr>
        <w:pStyle w:val="ListParagraph"/>
        <w:numPr>
          <w:ilvl w:val="0"/>
          <w:numId w:val="1"/>
        </w:numPr>
        <w:rPr>
          <w:rStyle w:val="Hyperlink"/>
          <w:i/>
          <w:iCs/>
          <w:color w:val="1F3864" w:themeColor="accent1" w:themeShade="80"/>
        </w:rPr>
      </w:pPr>
      <w:hyperlink r:id="rId10" w:history="1">
        <w:r w:rsidRPr="002A6437">
          <w:rPr>
            <w:rStyle w:val="Hyperlink"/>
            <w:i/>
            <w:iCs/>
            <w:color w:val="1F3864" w:themeColor="accent1" w:themeShade="80"/>
          </w:rPr>
          <w:t>https://bond-optimizer-dcsrft</w:t>
        </w:r>
        <w:r w:rsidRPr="002A6437">
          <w:rPr>
            <w:rStyle w:val="Hyperlink"/>
            <w:i/>
            <w:iCs/>
            <w:color w:val="1F3864" w:themeColor="accent1" w:themeShade="80"/>
          </w:rPr>
          <w:t>l</w:t>
        </w:r>
        <w:r w:rsidRPr="002A6437">
          <w:rPr>
            <w:rStyle w:val="Hyperlink"/>
            <w:i/>
            <w:iCs/>
            <w:color w:val="1F3864" w:themeColor="accent1" w:themeShade="80"/>
          </w:rPr>
          <w:t>qdwcdlgftqd6mgp.streamlit.app/</w:t>
        </w:r>
      </w:hyperlink>
    </w:p>
    <w:p w14:paraId="775BD620" w14:textId="77777777" w:rsidR="009940C9" w:rsidRDefault="009940C9" w:rsidP="002A6437">
      <w:pPr>
        <w:rPr>
          <w:b/>
          <w:bCs/>
          <w:color w:val="404040" w:themeColor="text1" w:themeTint="BF"/>
          <w:lang w:val="en-US"/>
        </w:rPr>
      </w:pPr>
    </w:p>
    <w:p w14:paraId="3F2406B3" w14:textId="77777777" w:rsidR="009940C9" w:rsidRDefault="009940C9" w:rsidP="002A6437">
      <w:pPr>
        <w:rPr>
          <w:b/>
          <w:bCs/>
          <w:color w:val="404040" w:themeColor="text1" w:themeTint="BF"/>
          <w:lang w:val="en-US"/>
        </w:rPr>
      </w:pPr>
    </w:p>
    <w:p w14:paraId="1A695D29" w14:textId="193270F4" w:rsidR="002A6437" w:rsidRPr="002A6437" w:rsidRDefault="002A6437" w:rsidP="002A6437">
      <w:pPr>
        <w:rPr>
          <w:b/>
          <w:bCs/>
          <w:color w:val="404040" w:themeColor="text1" w:themeTint="BF"/>
          <w:lang w:val="en-US"/>
        </w:rPr>
      </w:pPr>
      <w:r w:rsidRPr="002A6437">
        <w:rPr>
          <w:b/>
          <w:bCs/>
          <w:color w:val="404040" w:themeColor="text1" w:themeTint="BF"/>
          <w:lang w:val="en-US"/>
        </w:rPr>
        <w:lastRenderedPageBreak/>
        <w:t>R</w:t>
      </w:r>
      <w:r w:rsidRPr="002A6437">
        <w:rPr>
          <w:b/>
          <w:bCs/>
          <w:color w:val="404040" w:themeColor="text1" w:themeTint="BF"/>
          <w:lang w:val="en-US"/>
        </w:rPr>
        <w:t>EFERENCES</w:t>
      </w:r>
      <w:r w:rsidRPr="002A6437">
        <w:rPr>
          <w:b/>
          <w:bCs/>
          <w:color w:val="404040" w:themeColor="text1" w:themeTint="BF"/>
          <w:lang w:val="en-US"/>
        </w:rPr>
        <w:t>:</w:t>
      </w:r>
    </w:p>
    <w:p w14:paraId="5727BBA2" w14:textId="77777777" w:rsidR="002A6437" w:rsidRDefault="002A6437" w:rsidP="002A6437">
      <w:pPr>
        <w:pStyle w:val="ListParagraph"/>
        <w:numPr>
          <w:ilvl w:val="0"/>
          <w:numId w:val="1"/>
        </w:numPr>
        <w:rPr>
          <w:i/>
          <w:iCs/>
          <w:color w:val="1F3864" w:themeColor="accent1" w:themeShade="80"/>
          <w:lang w:val="en-US"/>
        </w:rPr>
      </w:pPr>
      <w:hyperlink r:id="rId11" w:history="1">
        <w:r w:rsidRPr="00D0797B">
          <w:rPr>
            <w:rStyle w:val="Hyperlink"/>
            <w:i/>
            <w:iCs/>
            <w:color w:val="1F3864" w:themeColor="accent1" w:themeShade="80"/>
            <w:lang w:val="en-US"/>
          </w:rPr>
          <w:t>https://thismatter.com/money/bonds/duration-convexity.htm</w:t>
        </w:r>
      </w:hyperlink>
    </w:p>
    <w:p w14:paraId="2A560DDB" w14:textId="77777777" w:rsidR="002A6437" w:rsidRPr="00D0797B" w:rsidRDefault="002A6437" w:rsidP="002A6437">
      <w:pPr>
        <w:pStyle w:val="ListParagraph"/>
        <w:rPr>
          <w:i/>
          <w:iCs/>
          <w:color w:val="1F3864" w:themeColor="accent1" w:themeShade="80"/>
          <w:lang w:val="en-US"/>
        </w:rPr>
      </w:pPr>
    </w:p>
    <w:p w14:paraId="425E5E2E" w14:textId="77777777" w:rsidR="002A6437" w:rsidRPr="00D0797B" w:rsidRDefault="002A6437" w:rsidP="002A6437">
      <w:pPr>
        <w:pStyle w:val="ListParagraph"/>
        <w:numPr>
          <w:ilvl w:val="0"/>
          <w:numId w:val="1"/>
        </w:numPr>
        <w:rPr>
          <w:rStyle w:val="Hyperlink"/>
          <w:i/>
          <w:iCs/>
          <w:color w:val="1F3864" w:themeColor="accent1" w:themeShade="80"/>
        </w:rPr>
      </w:pPr>
      <w:hyperlink r:id="rId12" w:history="1">
        <w:r w:rsidRPr="00D0797B">
          <w:rPr>
            <w:rStyle w:val="Hyperlink"/>
            <w:i/>
            <w:iCs/>
            <w:color w:val="1F3864" w:themeColor="accent1" w:themeShade="80"/>
            <w:lang w:val="en-US"/>
          </w:rPr>
          <w:t>https://www.cfainstitute.org/en/membership/professional-development/refresher-readings/understanding-fixed-income-risk-return</w:t>
        </w:r>
      </w:hyperlink>
    </w:p>
    <w:p w14:paraId="394FD976" w14:textId="77777777" w:rsidR="002A6437" w:rsidRPr="00D0797B" w:rsidRDefault="002A6437" w:rsidP="002A6437">
      <w:pPr>
        <w:pStyle w:val="ListParagraph"/>
        <w:rPr>
          <w:rStyle w:val="Hyperlink"/>
          <w:i/>
          <w:iCs/>
          <w:color w:val="1F3864" w:themeColor="accent1" w:themeShade="80"/>
        </w:rPr>
      </w:pPr>
    </w:p>
    <w:p w14:paraId="06324689" w14:textId="46D41095" w:rsidR="002A6437" w:rsidRDefault="002A6437" w:rsidP="002A6437">
      <w:pPr>
        <w:pStyle w:val="ListParagraph"/>
        <w:numPr>
          <w:ilvl w:val="0"/>
          <w:numId w:val="1"/>
        </w:numPr>
        <w:rPr>
          <w:rStyle w:val="Hyperlink"/>
          <w:i/>
          <w:iCs/>
          <w:color w:val="1F3864" w:themeColor="accent1" w:themeShade="80"/>
        </w:rPr>
      </w:pPr>
      <w:r w:rsidRPr="002A6437">
        <w:rPr>
          <w:rStyle w:val="Hyperlink"/>
          <w:i/>
          <w:iCs/>
          <w:color w:val="1F3864" w:themeColor="accent1" w:themeShade="80"/>
        </w:rPr>
        <w:t>https://www.investopedia.com/articles/bonds/08/duration-convexity.asp#:~:text=In%20technical%20terms%2C%20this%20means,to%20higher%20degrees%20of%20convexity.</w:t>
      </w:r>
    </w:p>
    <w:p w14:paraId="4EA1261D" w14:textId="77777777" w:rsidR="002A6437" w:rsidRPr="002A6437" w:rsidRDefault="002A6437" w:rsidP="002A6437">
      <w:pPr>
        <w:pStyle w:val="ListParagraph"/>
        <w:rPr>
          <w:i/>
          <w:iCs/>
          <w:color w:val="1F3864" w:themeColor="accent1" w:themeShade="80"/>
          <w:u w:val="single"/>
        </w:rPr>
      </w:pPr>
    </w:p>
    <w:p w14:paraId="45A213B4" w14:textId="4B2A6B64" w:rsidR="00E71081" w:rsidRPr="002A6437" w:rsidRDefault="00AB326F">
      <w:pPr>
        <w:rPr>
          <w:b/>
          <w:bCs/>
          <w:color w:val="404040" w:themeColor="text1" w:themeTint="BF"/>
          <w:lang w:val="en-US"/>
        </w:rPr>
      </w:pPr>
      <w:r w:rsidRPr="002A6437">
        <w:rPr>
          <w:b/>
          <w:bCs/>
          <w:color w:val="404040" w:themeColor="text1" w:themeTint="BF"/>
          <w:lang w:val="en-US"/>
        </w:rPr>
        <w:t>APPENDIX</w:t>
      </w:r>
    </w:p>
    <w:p w14:paraId="24D67211" w14:textId="77777777" w:rsidR="00107E30" w:rsidRPr="00107E30" w:rsidRDefault="00107E30">
      <w:pPr>
        <w:rPr>
          <w:b/>
          <w:bCs/>
          <w:color w:val="404040" w:themeColor="text1" w:themeTint="BF"/>
          <w:lang w:val="en-US"/>
        </w:rPr>
      </w:pPr>
    </w:p>
    <w:p w14:paraId="35F3FC47" w14:textId="76A15121" w:rsidR="008A4709" w:rsidRPr="008A4709" w:rsidRDefault="00E71081">
      <w:pPr>
        <w:rPr>
          <w:sz w:val="16"/>
          <w:szCs w:val="16"/>
          <w:lang w:val="en-US"/>
        </w:rPr>
      </w:pPr>
      <w:r w:rsidRPr="00E71081">
        <w:drawing>
          <wp:inline distT="0" distB="0" distL="0" distR="0" wp14:anchorId="455168AD" wp14:editId="677A9B4E">
            <wp:extent cx="5731510" cy="1985749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3" cy="19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09" w:rsidRPr="008A4709">
        <w:rPr>
          <w:sz w:val="16"/>
          <w:szCs w:val="16"/>
          <w:lang w:val="en-US"/>
        </w:rPr>
        <w:t>The R209, R213 and R214 bonds were highlighted as it has the closed RPP to the ALBI</w:t>
      </w:r>
      <w:r w:rsidR="008A4709">
        <w:rPr>
          <w:sz w:val="16"/>
          <w:szCs w:val="16"/>
          <w:lang w:val="en-US"/>
        </w:rPr>
        <w:t>. Also worth noting is that these bonds pay the lowest coupons and with the high bond yields, the convexity measure for these are also notable.</w:t>
      </w:r>
    </w:p>
    <w:p w14:paraId="7588A905" w14:textId="77777777" w:rsidR="00107E30" w:rsidRDefault="00107E30">
      <w:pPr>
        <w:rPr>
          <w:lang w:val="en-US"/>
        </w:rPr>
      </w:pPr>
    </w:p>
    <w:p w14:paraId="0302EBEA" w14:textId="0194423D" w:rsidR="00AA78A7" w:rsidRPr="002A6437" w:rsidRDefault="00107E30">
      <w:pPr>
        <w:rPr>
          <w:b/>
          <w:bCs/>
          <w:color w:val="C00000"/>
          <w:lang w:val="en-US"/>
        </w:rPr>
      </w:pPr>
      <w:r w:rsidRPr="002A6437">
        <w:rPr>
          <w:b/>
          <w:bCs/>
          <w:color w:val="C00000"/>
          <w:lang w:val="en-US"/>
        </w:rPr>
        <w:t>CAPITAL BOND RETURNS</w:t>
      </w:r>
    </w:p>
    <w:p w14:paraId="7CB5AE92" w14:textId="3C419854" w:rsidR="00AA78A7" w:rsidRDefault="00AA78A7">
      <w:pPr>
        <w:rPr>
          <w:lang w:val="en-US"/>
        </w:rPr>
      </w:pPr>
      <w:r w:rsidRPr="00AA78A7">
        <w:rPr>
          <w:noProof/>
          <w:lang w:val="en-US"/>
        </w:rPr>
        <w:drawing>
          <wp:inline distT="0" distB="0" distL="0" distR="0" wp14:anchorId="3B7DA1B0" wp14:editId="43F08D2D">
            <wp:extent cx="5731510" cy="1269242"/>
            <wp:effectExtent l="0" t="0" r="2540" b="7620"/>
            <wp:docPr id="5" name="Picture 5" descr="A table with numbers and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table with numbers and a number of objec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327" cy="12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7AA" w14:textId="77777777" w:rsidR="00AA78A7" w:rsidRDefault="00AA78A7">
      <w:pPr>
        <w:rPr>
          <w:lang w:val="en-US"/>
        </w:rPr>
      </w:pPr>
    </w:p>
    <w:p w14:paraId="1F14D7EB" w14:textId="22E87C87" w:rsidR="00107E30" w:rsidRPr="002A6437" w:rsidRDefault="00107E30">
      <w:pPr>
        <w:rPr>
          <w:b/>
          <w:bCs/>
          <w:color w:val="C00000"/>
          <w:lang w:val="en-US"/>
        </w:rPr>
      </w:pPr>
      <w:r w:rsidRPr="002A6437">
        <w:rPr>
          <w:b/>
          <w:bCs/>
          <w:color w:val="C00000"/>
          <w:lang w:val="en-US"/>
        </w:rPr>
        <w:t>TOTAL BOND RETURNS</w:t>
      </w:r>
    </w:p>
    <w:p w14:paraId="7641E90A" w14:textId="314AD6DF" w:rsidR="00AA78A7" w:rsidRDefault="00AA78A7">
      <w:pPr>
        <w:rPr>
          <w:lang w:val="en-US"/>
        </w:rPr>
      </w:pPr>
      <w:r w:rsidRPr="00AA78A7">
        <w:rPr>
          <w:noProof/>
          <w:lang w:val="en-US"/>
        </w:rPr>
        <w:drawing>
          <wp:inline distT="0" distB="0" distL="0" distR="0" wp14:anchorId="1F21EFF9" wp14:editId="1A714B65">
            <wp:extent cx="5731510" cy="1255594"/>
            <wp:effectExtent l="0" t="0" r="2540" b="1905"/>
            <wp:docPr id="6" name="Picture 6" descr="A table with numbers and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able with numbers and percentag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419" cy="12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98E3" w14:textId="2A6D7572" w:rsidR="00AA78A7" w:rsidRPr="002A6437" w:rsidRDefault="00E02F81">
      <w:pPr>
        <w:rPr>
          <w:b/>
          <w:bCs/>
          <w:color w:val="C00000"/>
          <w:lang w:val="en-US"/>
        </w:rPr>
      </w:pPr>
      <w:r w:rsidRPr="002A6437">
        <w:rPr>
          <w:b/>
          <w:bCs/>
          <w:color w:val="C00000"/>
          <w:lang w:val="en-US"/>
        </w:rPr>
        <w:lastRenderedPageBreak/>
        <w:t xml:space="preserve">BOND </w:t>
      </w:r>
      <w:r w:rsidR="00D60A41" w:rsidRPr="002A6437">
        <w:rPr>
          <w:b/>
          <w:bCs/>
          <w:color w:val="C00000"/>
          <w:lang w:val="en-US"/>
        </w:rPr>
        <w:t>BUCKET METRICS</w:t>
      </w:r>
    </w:p>
    <w:p w14:paraId="57CE3DC9" w14:textId="77777777" w:rsidR="00E02F81" w:rsidRPr="00E02F81" w:rsidRDefault="00E02F81">
      <w:pPr>
        <w:rPr>
          <w:b/>
          <w:bCs/>
          <w:color w:val="C00000"/>
          <w:lang w:val="en-US"/>
        </w:rPr>
      </w:pPr>
    </w:p>
    <w:p w14:paraId="53DAF745" w14:textId="470FFFC3" w:rsidR="00AA78A7" w:rsidRDefault="00AA78A7">
      <w:pPr>
        <w:rPr>
          <w:lang w:val="en-US"/>
        </w:rPr>
      </w:pPr>
      <w:r w:rsidRPr="00AA78A7">
        <w:rPr>
          <w:noProof/>
          <w:lang w:val="en-US"/>
        </w:rPr>
        <w:drawing>
          <wp:inline distT="0" distB="0" distL="0" distR="0" wp14:anchorId="4BD3C590" wp14:editId="25A4A873">
            <wp:extent cx="5730159" cy="22860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010" cy="22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FB88" w14:textId="77777777" w:rsidR="00E02F81" w:rsidRDefault="00E02F81">
      <w:pPr>
        <w:rPr>
          <w:lang w:val="en-US"/>
        </w:rPr>
      </w:pPr>
    </w:p>
    <w:p w14:paraId="4B22CBCC" w14:textId="77777777" w:rsidR="00E02F81" w:rsidRDefault="00E02F81">
      <w:pPr>
        <w:rPr>
          <w:lang w:val="en-US"/>
        </w:rPr>
      </w:pPr>
    </w:p>
    <w:p w14:paraId="27E723FF" w14:textId="1341DA6B" w:rsidR="00AA78A7" w:rsidRDefault="00AA78A7">
      <w:pPr>
        <w:rPr>
          <w:lang w:val="en-US"/>
        </w:rPr>
      </w:pPr>
      <w:r w:rsidRPr="00AA78A7">
        <w:rPr>
          <w:noProof/>
          <w:lang w:val="en-US"/>
        </w:rPr>
        <w:drawing>
          <wp:inline distT="0" distB="0" distL="0" distR="0" wp14:anchorId="6065098B" wp14:editId="26C0FEE7">
            <wp:extent cx="5730944" cy="2217761"/>
            <wp:effectExtent l="0" t="0" r="3175" b="0"/>
            <wp:docPr id="8" name="Picture 8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blue squ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22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EF6" w14:textId="77777777" w:rsidR="00E02F81" w:rsidRDefault="00E02F81">
      <w:pPr>
        <w:rPr>
          <w:lang w:val="en-US"/>
        </w:rPr>
      </w:pPr>
    </w:p>
    <w:p w14:paraId="76FCA40F" w14:textId="4717D97C" w:rsidR="00AA78A7" w:rsidRDefault="00AA78A7">
      <w:pPr>
        <w:rPr>
          <w:lang w:val="en-US"/>
        </w:rPr>
      </w:pPr>
      <w:r w:rsidRPr="00AA78A7">
        <w:rPr>
          <w:noProof/>
          <w:lang w:val="en-US"/>
        </w:rPr>
        <w:drawing>
          <wp:inline distT="0" distB="0" distL="0" distR="0" wp14:anchorId="7D86081D" wp14:editId="67F6CAEC">
            <wp:extent cx="5731510" cy="2456597"/>
            <wp:effectExtent l="0" t="0" r="2540" b="1270"/>
            <wp:docPr id="9" name="Picture 9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blue rectangular ba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94" cy="24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7B24" w14:textId="75E738EE" w:rsidR="00AA78A7" w:rsidRDefault="00AA78A7">
      <w:pPr>
        <w:rPr>
          <w:lang w:val="en-US"/>
        </w:rPr>
      </w:pPr>
      <w:r w:rsidRPr="00AA78A7">
        <w:rPr>
          <w:noProof/>
          <w:lang w:val="en-US"/>
        </w:rPr>
        <w:lastRenderedPageBreak/>
        <w:drawing>
          <wp:inline distT="0" distB="0" distL="0" distR="0" wp14:anchorId="427FFFD1" wp14:editId="46225A27">
            <wp:extent cx="5731510" cy="2511188"/>
            <wp:effectExtent l="0" t="0" r="2540" b="3810"/>
            <wp:docPr id="10" name="Picture 10" descr="A graph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blue squar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500" cy="25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91C6" w14:textId="77777777" w:rsidR="00AA78A7" w:rsidRDefault="00AA78A7">
      <w:pPr>
        <w:rPr>
          <w:lang w:val="en-US"/>
        </w:rPr>
      </w:pPr>
    </w:p>
    <w:p w14:paraId="79CC494F" w14:textId="77F1885C" w:rsidR="00AA78A7" w:rsidRDefault="00AA78A7">
      <w:pPr>
        <w:rPr>
          <w:lang w:val="en-US"/>
        </w:rPr>
      </w:pPr>
      <w:r w:rsidRPr="00AA78A7">
        <w:rPr>
          <w:noProof/>
          <w:lang w:val="en-US"/>
        </w:rPr>
        <w:drawing>
          <wp:inline distT="0" distB="0" distL="0" distR="0" wp14:anchorId="08091BE6" wp14:editId="11FA36E0">
            <wp:extent cx="5731510" cy="2456597"/>
            <wp:effectExtent l="0" t="0" r="2540" b="1270"/>
            <wp:docPr id="11" name="Picture 1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blue ba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552" cy="24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2253" w14:textId="77777777" w:rsidR="00316364" w:rsidRDefault="00316364">
      <w:pPr>
        <w:rPr>
          <w:lang w:val="en-US"/>
        </w:rPr>
      </w:pPr>
    </w:p>
    <w:p w14:paraId="3471312C" w14:textId="07E46F14" w:rsidR="00006772" w:rsidRPr="00CC5A04" w:rsidRDefault="00006772">
      <w:pPr>
        <w:rPr>
          <w:lang w:val="en-US"/>
        </w:rPr>
      </w:pPr>
    </w:p>
    <w:sectPr w:rsidR="00006772" w:rsidRPr="00CC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E2EF" w14:textId="77777777" w:rsidR="00DE04AE" w:rsidRDefault="00DE04AE" w:rsidP="00B53A93">
      <w:pPr>
        <w:spacing w:after="0" w:line="240" w:lineRule="auto"/>
      </w:pPr>
      <w:r>
        <w:separator/>
      </w:r>
    </w:p>
  </w:endnote>
  <w:endnote w:type="continuationSeparator" w:id="0">
    <w:p w14:paraId="543534D3" w14:textId="77777777" w:rsidR="00DE04AE" w:rsidRDefault="00DE04AE" w:rsidP="00B5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7B67" w14:textId="77777777" w:rsidR="00DE04AE" w:rsidRDefault="00DE04AE" w:rsidP="00B53A93">
      <w:pPr>
        <w:spacing w:after="0" w:line="240" w:lineRule="auto"/>
      </w:pPr>
      <w:r>
        <w:separator/>
      </w:r>
    </w:p>
  </w:footnote>
  <w:footnote w:type="continuationSeparator" w:id="0">
    <w:p w14:paraId="5048778D" w14:textId="77777777" w:rsidR="00DE04AE" w:rsidRDefault="00DE04AE" w:rsidP="00B53A93">
      <w:pPr>
        <w:spacing w:after="0" w:line="240" w:lineRule="auto"/>
      </w:pPr>
      <w:r>
        <w:continuationSeparator/>
      </w:r>
    </w:p>
  </w:footnote>
  <w:footnote w:id="1">
    <w:p w14:paraId="60862408" w14:textId="5ED4E082" w:rsidR="001D24D6" w:rsidRDefault="001D24D6" w:rsidP="001D24D6">
      <w:pPr>
        <w:pStyle w:val="Footer"/>
        <w:rPr>
          <w:sz w:val="20"/>
          <w:szCs w:val="20"/>
        </w:rPr>
      </w:pPr>
      <w:r w:rsidRPr="001D24D6">
        <w:rPr>
          <w:rStyle w:val="FootnoteReference"/>
          <w:sz w:val="20"/>
          <w:szCs w:val="20"/>
        </w:rPr>
        <w:footnoteRef/>
      </w:r>
      <w:r w:rsidRPr="001D24D6">
        <w:rPr>
          <w:sz w:val="20"/>
          <w:szCs w:val="20"/>
        </w:rPr>
        <w:t xml:space="preserve"> The RPBP gauges the change in bond price for a one basis point change in yield</w:t>
      </w:r>
      <w:r w:rsidR="00BD2692">
        <w:rPr>
          <w:sz w:val="20"/>
          <w:szCs w:val="20"/>
        </w:rPr>
        <w:t xml:space="preserve"> (</w:t>
      </w:r>
      <w:r w:rsidR="00BD2692">
        <w:rPr>
          <w:rFonts w:cstheme="minorHAnsi"/>
          <w:sz w:val="20"/>
          <w:szCs w:val="20"/>
        </w:rPr>
        <w:t>∆</w:t>
      </w:r>
      <w:r w:rsidR="00BD2692">
        <w:rPr>
          <w:sz w:val="20"/>
          <w:szCs w:val="20"/>
        </w:rPr>
        <w:t>y)</w:t>
      </w:r>
      <w:r w:rsidRPr="001D24D6">
        <w:rPr>
          <w:sz w:val="20"/>
          <w:szCs w:val="20"/>
        </w:rPr>
        <w:t>. The price difference is approximated using the bonds Modified Duration (</w:t>
      </w:r>
      <w:proofErr w:type="spellStart"/>
      <w:r w:rsidRPr="001D24D6">
        <w:rPr>
          <w:sz w:val="20"/>
          <w:szCs w:val="20"/>
        </w:rPr>
        <w:t>MDur</w:t>
      </w:r>
      <w:proofErr w:type="spellEnd"/>
      <w:r w:rsidRPr="001D24D6">
        <w:rPr>
          <w:sz w:val="20"/>
          <w:szCs w:val="20"/>
        </w:rPr>
        <w:t>) and Convexity (Conv) measures as shown below:</w:t>
      </w:r>
    </w:p>
    <w:p w14:paraId="7E79400D" w14:textId="77777777" w:rsidR="001D24D6" w:rsidRDefault="001D24D6" w:rsidP="001D24D6">
      <w:pPr>
        <w:pStyle w:val="Footer"/>
        <w:rPr>
          <w:sz w:val="20"/>
          <w:szCs w:val="20"/>
        </w:rPr>
      </w:pPr>
    </w:p>
    <w:p w14:paraId="35C764D5" w14:textId="2DBA3F66" w:rsidR="001D24D6" w:rsidRPr="00866EED" w:rsidRDefault="00866EED" w:rsidP="00BD2692">
      <w:pPr>
        <w:pStyle w:val="Footer"/>
        <w:ind w:firstLine="2880"/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</w:rPr>
              <m:t>∆P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</w:rPr>
              <m:t>P</m:t>
            </m:r>
          </m:den>
        </m:f>
      </m:oMath>
      <w:r w:rsidR="00BD2692" w:rsidRPr="00866EED">
        <w:rPr>
          <w:b/>
          <w:bCs/>
        </w:rPr>
        <w:t xml:space="preserve"> </w:t>
      </w:r>
      <w:r w:rsidR="00BD2692" w:rsidRPr="00866EED">
        <w:rPr>
          <w:b/>
          <w:bCs/>
          <w:sz w:val="20"/>
          <w:szCs w:val="20"/>
        </w:rPr>
        <w:t xml:space="preserve">= (-MDur) x </w:t>
      </w:r>
      <w:r w:rsidR="00BD2692" w:rsidRPr="00866EED">
        <w:rPr>
          <w:rFonts w:cstheme="minorHAnsi"/>
          <w:b/>
          <w:bCs/>
          <w:sz w:val="20"/>
          <w:szCs w:val="20"/>
        </w:rPr>
        <w:t>∆</w:t>
      </w:r>
      <w:r w:rsidR="00BD2692" w:rsidRPr="00866EED">
        <w:rPr>
          <w:b/>
          <w:bCs/>
          <w:sz w:val="20"/>
          <w:szCs w:val="20"/>
        </w:rPr>
        <w:t xml:space="preserve">y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BD2692" w:rsidRPr="00866EED">
        <w:rPr>
          <w:rFonts w:eastAsiaTheme="minorEastAsia"/>
          <w:b/>
          <w:bCs/>
          <w:sz w:val="20"/>
          <w:szCs w:val="20"/>
        </w:rPr>
        <w:t xml:space="preserve"> x (Conv) x (</w:t>
      </w:r>
      <w:r w:rsidR="00BD2692" w:rsidRPr="00866EED">
        <w:rPr>
          <w:rFonts w:eastAsiaTheme="minorEastAsia" w:cstheme="minorHAnsi"/>
          <w:b/>
          <w:bCs/>
          <w:sz w:val="20"/>
          <w:szCs w:val="20"/>
        </w:rPr>
        <w:t>∆</w:t>
      </w:r>
      <w:r w:rsidR="00BD2692" w:rsidRPr="00866EED">
        <w:rPr>
          <w:rFonts w:eastAsiaTheme="minorEastAsia"/>
          <w:b/>
          <w:bCs/>
          <w:sz w:val="20"/>
          <w:szCs w:val="20"/>
        </w:rPr>
        <w:t>y)</w:t>
      </w:r>
      <w:r w:rsidR="00BD2692" w:rsidRPr="00866EED">
        <w:rPr>
          <w:rFonts w:eastAsiaTheme="minorEastAsia"/>
          <w:b/>
          <w:bCs/>
          <w:sz w:val="20"/>
          <w:szCs w:val="20"/>
          <w:vertAlign w:val="superscript"/>
        </w:rPr>
        <w:t>2</w:t>
      </w:r>
    </w:p>
    <w:p w14:paraId="7D3A0258" w14:textId="69C0B965" w:rsidR="001D24D6" w:rsidRPr="001D24D6" w:rsidRDefault="001D24D6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152"/>
    <w:multiLevelType w:val="hybridMultilevel"/>
    <w:tmpl w:val="38384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6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4"/>
    <w:rsid w:val="00006772"/>
    <w:rsid w:val="000441DB"/>
    <w:rsid w:val="0008764A"/>
    <w:rsid w:val="00107E30"/>
    <w:rsid w:val="00144018"/>
    <w:rsid w:val="0017319B"/>
    <w:rsid w:val="001914A7"/>
    <w:rsid w:val="001D24D6"/>
    <w:rsid w:val="00262C3F"/>
    <w:rsid w:val="00263390"/>
    <w:rsid w:val="002733B7"/>
    <w:rsid w:val="002A6437"/>
    <w:rsid w:val="003038CD"/>
    <w:rsid w:val="00316364"/>
    <w:rsid w:val="00347285"/>
    <w:rsid w:val="00350DD9"/>
    <w:rsid w:val="00370270"/>
    <w:rsid w:val="003B4FE6"/>
    <w:rsid w:val="004213FB"/>
    <w:rsid w:val="004D5838"/>
    <w:rsid w:val="0051500E"/>
    <w:rsid w:val="00691D4D"/>
    <w:rsid w:val="006F38FE"/>
    <w:rsid w:val="0074000C"/>
    <w:rsid w:val="00775BFD"/>
    <w:rsid w:val="0078564E"/>
    <w:rsid w:val="007A6ACE"/>
    <w:rsid w:val="00866EED"/>
    <w:rsid w:val="008A4709"/>
    <w:rsid w:val="0096798D"/>
    <w:rsid w:val="009940C9"/>
    <w:rsid w:val="009D4FA6"/>
    <w:rsid w:val="00A07D99"/>
    <w:rsid w:val="00A31BAD"/>
    <w:rsid w:val="00AA78A7"/>
    <w:rsid w:val="00AB326F"/>
    <w:rsid w:val="00AF3319"/>
    <w:rsid w:val="00B15ADC"/>
    <w:rsid w:val="00B53A93"/>
    <w:rsid w:val="00BD2692"/>
    <w:rsid w:val="00BE2910"/>
    <w:rsid w:val="00CC5A04"/>
    <w:rsid w:val="00D0797B"/>
    <w:rsid w:val="00D44B58"/>
    <w:rsid w:val="00D60A41"/>
    <w:rsid w:val="00D92422"/>
    <w:rsid w:val="00DA036B"/>
    <w:rsid w:val="00DA5B8C"/>
    <w:rsid w:val="00DE04AE"/>
    <w:rsid w:val="00E02F81"/>
    <w:rsid w:val="00E208CF"/>
    <w:rsid w:val="00E71081"/>
    <w:rsid w:val="00EA6F68"/>
    <w:rsid w:val="00EC42D3"/>
    <w:rsid w:val="00F0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0EB57"/>
  <w15:chartTrackingRefBased/>
  <w15:docId w15:val="{639253BA-EA43-4B6F-A76D-30BD23E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93"/>
  </w:style>
  <w:style w:type="paragraph" w:styleId="Footer">
    <w:name w:val="footer"/>
    <w:basedOn w:val="Normal"/>
    <w:link w:val="FooterChar"/>
    <w:uiPriority w:val="99"/>
    <w:unhideWhenUsed/>
    <w:rsid w:val="00B5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93"/>
  </w:style>
  <w:style w:type="paragraph" w:styleId="FootnoteText">
    <w:name w:val="footnote text"/>
    <w:basedOn w:val="Normal"/>
    <w:link w:val="FootnoteTextChar"/>
    <w:uiPriority w:val="99"/>
    <w:semiHidden/>
    <w:unhideWhenUsed/>
    <w:rsid w:val="001D24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4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4D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D26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7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9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5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fainstitute.org/en/membership/professional-development/refresher-readings/understanding-fixed-income-risk-return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ismatter.com/money/bonds/duration-convexity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ond-optimizer-dcsrftlqdwcdlgftqd6mgp.streamlit.app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30E8-7FDA-4A65-A619-A507CE9F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Desigan Reddy</dc:creator>
  <cp:keywords/>
  <dc:description/>
  <cp:lastModifiedBy>Desigan Reddy</cp:lastModifiedBy>
  <cp:revision>40</cp:revision>
  <dcterms:created xsi:type="dcterms:W3CDTF">2023-08-31T11:44:00Z</dcterms:created>
  <dcterms:modified xsi:type="dcterms:W3CDTF">2023-09-01T10:14:00Z</dcterms:modified>
</cp:coreProperties>
</file>