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786B" w14:textId="0DBCB3F8" w:rsidR="00BE2910" w:rsidRPr="003038CD" w:rsidRDefault="00CC5A04">
      <w:pPr>
        <w:rPr>
          <w:b/>
          <w:bCs/>
          <w:color w:val="404040" w:themeColor="text1" w:themeTint="BF"/>
          <w:sz w:val="32"/>
          <w:szCs w:val="32"/>
          <w:lang w:val="en-US"/>
        </w:rPr>
      </w:pPr>
      <w:r w:rsidRPr="003038CD">
        <w:rPr>
          <w:b/>
          <w:bCs/>
          <w:color w:val="404040" w:themeColor="text1" w:themeTint="BF"/>
          <w:sz w:val="32"/>
          <w:szCs w:val="32"/>
          <w:lang w:val="en-US"/>
        </w:rPr>
        <w:t>Bond Analysis</w:t>
      </w:r>
    </w:p>
    <w:p w14:paraId="5E0FDA82" w14:textId="1BC58CC7" w:rsidR="00775BFD" w:rsidRPr="0074000C" w:rsidRDefault="00775BFD">
      <w:pPr>
        <w:rPr>
          <w:b/>
          <w:bCs/>
          <w:color w:val="C00000"/>
          <w:lang w:val="en-US"/>
        </w:rPr>
      </w:pPr>
      <w:r w:rsidRPr="0074000C">
        <w:rPr>
          <w:b/>
          <w:bCs/>
          <w:color w:val="C00000"/>
          <w:lang w:val="en-US"/>
        </w:rPr>
        <w:t>Research Question</w:t>
      </w:r>
    </w:p>
    <w:p w14:paraId="416093A6" w14:textId="763E7DA9" w:rsidR="00775BFD" w:rsidRDefault="00775BFD">
      <w:pPr>
        <w:rPr>
          <w:lang w:val="en-US"/>
        </w:rPr>
      </w:pPr>
      <w:r>
        <w:rPr>
          <w:lang w:val="en-US"/>
        </w:rPr>
        <w:t>Considering current bond metrics (risk vs. return parameters) which would be the optimal bucket to go long when adding duration?</w:t>
      </w:r>
    </w:p>
    <w:p w14:paraId="2E4C4F02" w14:textId="7F06C280" w:rsidR="00CC5A04" w:rsidRPr="0074000C" w:rsidRDefault="00CC5A04">
      <w:pPr>
        <w:rPr>
          <w:b/>
          <w:bCs/>
          <w:color w:val="C00000"/>
          <w:lang w:val="en-US"/>
        </w:rPr>
      </w:pPr>
      <w:r w:rsidRPr="0074000C">
        <w:rPr>
          <w:b/>
          <w:bCs/>
          <w:color w:val="C00000"/>
          <w:lang w:val="en-US"/>
        </w:rPr>
        <w:t>Executive Summary</w:t>
      </w:r>
    </w:p>
    <w:p w14:paraId="3F4A5F2D" w14:textId="062FA9A1" w:rsidR="0008764A" w:rsidRDefault="0008764A">
      <w:pPr>
        <w:rPr>
          <w:lang w:val="en-US"/>
        </w:rPr>
      </w:pPr>
      <w:r>
        <w:rPr>
          <w:lang w:val="en-US"/>
        </w:rPr>
        <w:t xml:space="preserve">Utilizing prevailing </w:t>
      </w:r>
      <w:r w:rsidR="00775BFD">
        <w:rPr>
          <w:lang w:val="en-US"/>
        </w:rPr>
        <w:t>bond</w:t>
      </w:r>
      <w:r>
        <w:rPr>
          <w:lang w:val="en-US"/>
        </w:rPr>
        <w:t xml:space="preserve"> </w:t>
      </w:r>
      <w:r w:rsidR="00775BFD">
        <w:rPr>
          <w:lang w:val="en-US"/>
        </w:rPr>
        <w:t xml:space="preserve">yields and price sensitivities, we </w:t>
      </w:r>
      <w:r>
        <w:rPr>
          <w:lang w:val="en-US"/>
        </w:rPr>
        <w:t xml:space="preserve">determined the Sharpe Ratio of specific bonds across the SA </w:t>
      </w:r>
      <w:proofErr w:type="spellStart"/>
      <w:r>
        <w:rPr>
          <w:lang w:val="en-US"/>
        </w:rPr>
        <w:t>Govi</w:t>
      </w:r>
      <w:proofErr w:type="spellEnd"/>
      <w:r>
        <w:rPr>
          <w:lang w:val="en-US"/>
        </w:rPr>
        <w:t xml:space="preserve"> curve. The bonds selected ranged from 1 year (Treasury-Bills) to 30 years (R2053</w:t>
      </w:r>
      <w:r w:rsidR="003038CD">
        <w:rPr>
          <w:lang w:val="en-US"/>
        </w:rPr>
        <w:t xml:space="preserve"> bond</w:t>
      </w:r>
      <w:r>
        <w:rPr>
          <w:lang w:val="en-US"/>
        </w:rPr>
        <w:t>) and were used as proxies for various maturity buckets along the curve.</w:t>
      </w:r>
    </w:p>
    <w:p w14:paraId="50ED6908" w14:textId="04C50466" w:rsidR="00A07D99" w:rsidRDefault="00A07D99">
      <w:pPr>
        <w:rPr>
          <w:lang w:val="en-US"/>
        </w:rPr>
      </w:pPr>
      <w:r>
        <w:rPr>
          <w:lang w:val="en-US"/>
        </w:rPr>
        <w:t xml:space="preserve">In addition, the </w:t>
      </w:r>
      <w:r w:rsidR="00EC42D3">
        <w:rPr>
          <w:lang w:val="en-US"/>
        </w:rPr>
        <w:t xml:space="preserve">calculated </w:t>
      </w:r>
      <w:r>
        <w:rPr>
          <w:lang w:val="en-US"/>
        </w:rPr>
        <w:t>Sharpe Ratio measured the</w:t>
      </w:r>
      <w:r w:rsidR="003038CD">
        <w:rPr>
          <w:lang w:val="en-US"/>
        </w:rPr>
        <w:t xml:space="preserve"> </w:t>
      </w:r>
      <w:r>
        <w:rPr>
          <w:lang w:val="en-US"/>
        </w:rPr>
        <w:t xml:space="preserve">excess return </w:t>
      </w:r>
      <w:r w:rsidR="003038CD">
        <w:rPr>
          <w:lang w:val="en-US"/>
        </w:rPr>
        <w:t xml:space="preserve">of each bond </w:t>
      </w:r>
      <w:r>
        <w:rPr>
          <w:lang w:val="en-US"/>
        </w:rPr>
        <w:t xml:space="preserve">over the current SA Repo Rate (8.25%) relative to </w:t>
      </w:r>
      <w:r w:rsidR="003038CD">
        <w:rPr>
          <w:lang w:val="en-US"/>
        </w:rPr>
        <w:t xml:space="preserve">its </w:t>
      </w:r>
      <w:r w:rsidR="00D44B58">
        <w:rPr>
          <w:lang w:val="en-US"/>
        </w:rPr>
        <w:t xml:space="preserve">risk </w:t>
      </w:r>
      <w:r w:rsidR="00EC42D3">
        <w:rPr>
          <w:lang w:val="en-US"/>
        </w:rPr>
        <w:t>or</w:t>
      </w:r>
      <w:r w:rsidR="003038CD">
        <w:rPr>
          <w:lang w:val="en-US"/>
        </w:rPr>
        <w:t xml:space="preserve"> </w:t>
      </w:r>
      <w:r w:rsidR="00D44B58">
        <w:rPr>
          <w:lang w:val="en-US"/>
        </w:rPr>
        <w:t>Rand Per Basis Point (RPBP</w:t>
      </w:r>
      <w:r w:rsidR="001D24D6">
        <w:rPr>
          <w:rStyle w:val="FootnoteReference"/>
          <w:lang w:val="en-US"/>
        </w:rPr>
        <w:footnoteReference w:id="1"/>
      </w:r>
      <w:r w:rsidR="00D44B58">
        <w:rPr>
          <w:lang w:val="en-US"/>
        </w:rPr>
        <w:t>).</w:t>
      </w:r>
      <w:r w:rsidR="003038CD">
        <w:rPr>
          <w:lang w:val="en-US"/>
        </w:rPr>
        <w:t xml:space="preserve"> </w:t>
      </w:r>
    </w:p>
    <w:p w14:paraId="479034E0" w14:textId="362609C1" w:rsidR="003038CD" w:rsidRDefault="003038CD">
      <w:pPr>
        <w:rPr>
          <w:lang w:val="en-US"/>
        </w:rPr>
      </w:pPr>
      <w:r>
        <w:rPr>
          <w:lang w:val="en-US"/>
        </w:rPr>
        <w:t xml:space="preserve">Our analysis shows that given current bond yields and risk numbers, the 20-year bucket (represented by the R2044 bond) produced the highest Sharpe Ratio and consequently the optimal risk adjusted return from the </w:t>
      </w:r>
      <w:proofErr w:type="spellStart"/>
      <w:r>
        <w:rPr>
          <w:lang w:val="en-US"/>
        </w:rPr>
        <w:t>Govi</w:t>
      </w:r>
      <w:proofErr w:type="spellEnd"/>
      <w:r>
        <w:rPr>
          <w:lang w:val="en-US"/>
        </w:rPr>
        <w:t xml:space="preserve"> bonds considered.</w:t>
      </w:r>
    </w:p>
    <w:p w14:paraId="532E442C" w14:textId="6A5D8296" w:rsidR="00775BFD" w:rsidRDefault="002733B7">
      <w:pPr>
        <w:rPr>
          <w:lang w:val="en-US"/>
        </w:rPr>
      </w:pPr>
      <w:r w:rsidRPr="002733B7">
        <w:rPr>
          <w:lang w:val="en-US"/>
        </w:rPr>
        <w:drawing>
          <wp:inline distT="0" distB="0" distL="0" distR="0" wp14:anchorId="20679D52" wp14:editId="420B0AB0">
            <wp:extent cx="3467584" cy="4763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5FA" w14:textId="4AE520F5" w:rsidR="00CC5A04" w:rsidRDefault="00CC5A04">
      <w:pPr>
        <w:rPr>
          <w:lang w:val="en-US"/>
        </w:rPr>
      </w:pPr>
      <w:r>
        <w:rPr>
          <w:lang w:val="en-US"/>
        </w:rPr>
        <w:t>Final Thoughts</w:t>
      </w:r>
    </w:p>
    <w:p w14:paraId="137924C3" w14:textId="77777777" w:rsidR="00EC42D3" w:rsidRDefault="00EC42D3">
      <w:pPr>
        <w:rPr>
          <w:lang w:val="en-US"/>
        </w:rPr>
      </w:pPr>
    </w:p>
    <w:p w14:paraId="4B293146" w14:textId="1C9181FC" w:rsidR="00EC42D3" w:rsidRDefault="00EC42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A09DE" wp14:editId="797ABE36">
            <wp:extent cx="5729988" cy="1323833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87" cy="13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84CF" w14:textId="3FE11DCB" w:rsidR="00CC5A04" w:rsidRDefault="00AA78A7">
      <w:pPr>
        <w:rPr>
          <w:lang w:val="en-US"/>
        </w:rPr>
      </w:pPr>
      <w:r w:rsidRPr="00AA78A7">
        <w:rPr>
          <w:lang w:val="en-US"/>
        </w:rPr>
        <w:drawing>
          <wp:inline distT="0" distB="0" distL="0" distR="0" wp14:anchorId="3A40D9C0" wp14:editId="4BB8AB24">
            <wp:extent cx="5731510" cy="134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EBEA" w14:textId="77777777" w:rsidR="00AA78A7" w:rsidRDefault="00AA78A7">
      <w:pPr>
        <w:rPr>
          <w:lang w:val="en-US"/>
        </w:rPr>
      </w:pPr>
    </w:p>
    <w:p w14:paraId="7CB5AE92" w14:textId="3C419854" w:rsidR="00AA78A7" w:rsidRDefault="00AA78A7">
      <w:pPr>
        <w:rPr>
          <w:lang w:val="en-US"/>
        </w:rPr>
      </w:pPr>
      <w:r w:rsidRPr="00AA78A7">
        <w:rPr>
          <w:lang w:val="en-US"/>
        </w:rPr>
        <w:lastRenderedPageBreak/>
        <w:drawing>
          <wp:inline distT="0" distB="0" distL="0" distR="0" wp14:anchorId="3B7DA1B0" wp14:editId="2820AC67">
            <wp:extent cx="5731510" cy="1330325"/>
            <wp:effectExtent l="0" t="0" r="2540" b="3175"/>
            <wp:docPr id="5" name="Picture 5" descr="A table with numbers and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table with numbers and a number of objec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7AA" w14:textId="77777777" w:rsidR="00AA78A7" w:rsidRDefault="00AA78A7">
      <w:pPr>
        <w:rPr>
          <w:lang w:val="en-US"/>
        </w:rPr>
      </w:pPr>
    </w:p>
    <w:p w14:paraId="7641E90A" w14:textId="314AD6DF" w:rsidR="00AA78A7" w:rsidRDefault="00AA78A7">
      <w:pPr>
        <w:rPr>
          <w:lang w:val="en-US"/>
        </w:rPr>
      </w:pPr>
      <w:r w:rsidRPr="00AA78A7">
        <w:rPr>
          <w:lang w:val="en-US"/>
        </w:rPr>
        <w:drawing>
          <wp:inline distT="0" distB="0" distL="0" distR="0" wp14:anchorId="1F21EFF9" wp14:editId="6C2D378E">
            <wp:extent cx="5731510" cy="1326515"/>
            <wp:effectExtent l="0" t="0" r="2540" b="6985"/>
            <wp:docPr id="6" name="Picture 6" descr="A table with numbers and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able with numbers and percentag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98E3" w14:textId="77777777" w:rsidR="00AA78A7" w:rsidRDefault="00AA78A7">
      <w:pPr>
        <w:rPr>
          <w:lang w:val="en-US"/>
        </w:rPr>
      </w:pPr>
    </w:p>
    <w:p w14:paraId="53DAF745" w14:textId="470FFFC3" w:rsidR="00AA78A7" w:rsidRDefault="00AA78A7">
      <w:pPr>
        <w:rPr>
          <w:lang w:val="en-US"/>
        </w:rPr>
      </w:pPr>
      <w:r w:rsidRPr="00AA78A7">
        <w:rPr>
          <w:lang w:val="en-US"/>
        </w:rPr>
        <w:drawing>
          <wp:inline distT="0" distB="0" distL="0" distR="0" wp14:anchorId="4BD3C590" wp14:editId="1036FDFC">
            <wp:extent cx="5731510" cy="2703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46FC" w14:textId="77777777" w:rsidR="00AA78A7" w:rsidRDefault="00AA78A7">
      <w:pPr>
        <w:rPr>
          <w:lang w:val="en-US"/>
        </w:rPr>
      </w:pPr>
    </w:p>
    <w:p w14:paraId="27E723FF" w14:textId="1341DA6B" w:rsidR="00AA78A7" w:rsidRDefault="00AA78A7">
      <w:pPr>
        <w:rPr>
          <w:lang w:val="en-US"/>
        </w:rPr>
      </w:pPr>
      <w:r w:rsidRPr="00AA78A7">
        <w:rPr>
          <w:lang w:val="en-US"/>
        </w:rPr>
        <w:lastRenderedPageBreak/>
        <w:drawing>
          <wp:inline distT="0" distB="0" distL="0" distR="0" wp14:anchorId="6065098B" wp14:editId="24521761">
            <wp:extent cx="5731510" cy="2729865"/>
            <wp:effectExtent l="0" t="0" r="2540" b="0"/>
            <wp:docPr id="8" name="Picture 8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blu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523F" w14:textId="0672CF44" w:rsidR="00AA78A7" w:rsidRDefault="00AA78A7">
      <w:pPr>
        <w:rPr>
          <w:lang w:val="en-US"/>
        </w:rPr>
      </w:pPr>
      <w:r w:rsidRPr="00AA78A7">
        <w:rPr>
          <w:lang w:val="en-US"/>
        </w:rPr>
        <w:drawing>
          <wp:inline distT="0" distB="0" distL="0" distR="0" wp14:anchorId="7D86081D" wp14:editId="14DE0DFA">
            <wp:extent cx="5731510" cy="2757170"/>
            <wp:effectExtent l="0" t="0" r="2540" b="5080"/>
            <wp:docPr id="9" name="Picture 9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blue rectangular b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A40F" w14:textId="77777777" w:rsidR="00AA78A7" w:rsidRDefault="00AA78A7">
      <w:pPr>
        <w:rPr>
          <w:lang w:val="en-US"/>
        </w:rPr>
      </w:pPr>
    </w:p>
    <w:p w14:paraId="7E107B24" w14:textId="75E738EE" w:rsidR="00AA78A7" w:rsidRDefault="00AA78A7">
      <w:pPr>
        <w:rPr>
          <w:lang w:val="en-US"/>
        </w:rPr>
      </w:pPr>
      <w:r w:rsidRPr="00AA78A7">
        <w:rPr>
          <w:lang w:val="en-US"/>
        </w:rPr>
        <w:drawing>
          <wp:inline distT="0" distB="0" distL="0" distR="0" wp14:anchorId="427FFFD1" wp14:editId="0D9539BF">
            <wp:extent cx="5731510" cy="2705100"/>
            <wp:effectExtent l="0" t="0" r="2540" b="0"/>
            <wp:docPr id="10" name="Picture 10" descr="A graph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blue squar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91C6" w14:textId="77777777" w:rsidR="00AA78A7" w:rsidRDefault="00AA78A7">
      <w:pPr>
        <w:rPr>
          <w:lang w:val="en-US"/>
        </w:rPr>
      </w:pPr>
    </w:p>
    <w:p w14:paraId="79CC494F" w14:textId="77F1885C" w:rsidR="00AA78A7" w:rsidRDefault="00AA78A7">
      <w:pPr>
        <w:rPr>
          <w:lang w:val="en-US"/>
        </w:rPr>
      </w:pPr>
      <w:r w:rsidRPr="00AA78A7">
        <w:rPr>
          <w:lang w:val="en-US"/>
        </w:rPr>
        <w:drawing>
          <wp:inline distT="0" distB="0" distL="0" distR="0" wp14:anchorId="08091BE6" wp14:editId="67E58984">
            <wp:extent cx="5731510" cy="2751455"/>
            <wp:effectExtent l="0" t="0" r="2540" b="0"/>
            <wp:docPr id="11" name="Picture 1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blue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2253" w14:textId="77777777" w:rsidR="00316364" w:rsidRDefault="00316364">
      <w:pPr>
        <w:rPr>
          <w:lang w:val="en-US"/>
        </w:rPr>
      </w:pPr>
    </w:p>
    <w:p w14:paraId="28D1C006" w14:textId="77777777" w:rsidR="00316364" w:rsidRDefault="00316364">
      <w:pPr>
        <w:rPr>
          <w:lang w:val="en-US"/>
        </w:rPr>
      </w:pPr>
    </w:p>
    <w:p w14:paraId="1F38C5CB" w14:textId="4B96B8C1" w:rsidR="00316364" w:rsidRDefault="00316364">
      <w:pPr>
        <w:rPr>
          <w:lang w:val="en-US"/>
        </w:rPr>
      </w:pPr>
      <w:r w:rsidRPr="00316364">
        <w:rPr>
          <w:lang w:val="en-US"/>
        </w:rPr>
        <w:drawing>
          <wp:inline distT="0" distB="0" distL="0" distR="0" wp14:anchorId="703AAD29" wp14:editId="1E0DA0B3">
            <wp:extent cx="5731510" cy="25857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BCC" w14:textId="77777777" w:rsidR="00316364" w:rsidRDefault="00316364">
      <w:pPr>
        <w:rPr>
          <w:lang w:val="en-US"/>
        </w:rPr>
      </w:pPr>
    </w:p>
    <w:p w14:paraId="3AC0F3FE" w14:textId="2F52931F" w:rsidR="00316364" w:rsidRDefault="00316364">
      <w:pPr>
        <w:rPr>
          <w:lang w:val="en-US"/>
        </w:rPr>
      </w:pPr>
      <w:r w:rsidRPr="00316364">
        <w:rPr>
          <w:lang w:val="en-US"/>
        </w:rPr>
        <w:lastRenderedPageBreak/>
        <w:drawing>
          <wp:inline distT="0" distB="0" distL="0" distR="0" wp14:anchorId="0DE2CE21" wp14:editId="385969D9">
            <wp:extent cx="5731510" cy="2734310"/>
            <wp:effectExtent l="0" t="0" r="2540" b="8890"/>
            <wp:docPr id="17" name="Picture 17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numbers and a b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76FD" w14:textId="77777777" w:rsidR="00AA78A7" w:rsidRDefault="00AA78A7">
      <w:pPr>
        <w:rPr>
          <w:lang w:val="en-US"/>
        </w:rPr>
      </w:pPr>
    </w:p>
    <w:p w14:paraId="1025559B" w14:textId="30133FC6" w:rsidR="00AA78A7" w:rsidRDefault="00AA78A7">
      <w:pPr>
        <w:rPr>
          <w:lang w:val="en-US"/>
        </w:rPr>
      </w:pPr>
    </w:p>
    <w:p w14:paraId="289432BE" w14:textId="77777777" w:rsidR="00AA78A7" w:rsidRDefault="00AA78A7">
      <w:pPr>
        <w:rPr>
          <w:lang w:val="en-US"/>
        </w:rPr>
      </w:pPr>
    </w:p>
    <w:p w14:paraId="2C5D5615" w14:textId="6D825F53" w:rsidR="00AA78A7" w:rsidRDefault="00AA78A7">
      <w:pPr>
        <w:rPr>
          <w:lang w:val="en-US"/>
        </w:rPr>
      </w:pPr>
    </w:p>
    <w:p w14:paraId="3DDC83D9" w14:textId="7E471458" w:rsidR="00006772" w:rsidRDefault="00006772">
      <w:pPr>
        <w:rPr>
          <w:lang w:val="en-US"/>
        </w:rPr>
      </w:pPr>
    </w:p>
    <w:p w14:paraId="6536F84F" w14:textId="77777777" w:rsidR="00006772" w:rsidRDefault="00006772">
      <w:pPr>
        <w:rPr>
          <w:lang w:val="en-US"/>
        </w:rPr>
      </w:pPr>
    </w:p>
    <w:p w14:paraId="3471312C" w14:textId="07E46F14" w:rsidR="00006772" w:rsidRPr="00CC5A04" w:rsidRDefault="00006772">
      <w:pPr>
        <w:rPr>
          <w:lang w:val="en-US"/>
        </w:rPr>
      </w:pPr>
    </w:p>
    <w:sectPr w:rsidR="00006772" w:rsidRPr="00CC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87BC" w14:textId="77777777" w:rsidR="00D92422" w:rsidRDefault="00D92422" w:rsidP="00B53A93">
      <w:pPr>
        <w:spacing w:after="0" w:line="240" w:lineRule="auto"/>
      </w:pPr>
      <w:r>
        <w:separator/>
      </w:r>
    </w:p>
  </w:endnote>
  <w:endnote w:type="continuationSeparator" w:id="0">
    <w:p w14:paraId="6C079EC0" w14:textId="77777777" w:rsidR="00D92422" w:rsidRDefault="00D92422" w:rsidP="00B5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CAA5" w14:textId="77777777" w:rsidR="00D92422" w:rsidRDefault="00D92422" w:rsidP="00B53A93">
      <w:pPr>
        <w:spacing w:after="0" w:line="240" w:lineRule="auto"/>
      </w:pPr>
      <w:r>
        <w:separator/>
      </w:r>
    </w:p>
  </w:footnote>
  <w:footnote w:type="continuationSeparator" w:id="0">
    <w:p w14:paraId="3461776A" w14:textId="77777777" w:rsidR="00D92422" w:rsidRDefault="00D92422" w:rsidP="00B53A93">
      <w:pPr>
        <w:spacing w:after="0" w:line="240" w:lineRule="auto"/>
      </w:pPr>
      <w:r>
        <w:continuationSeparator/>
      </w:r>
    </w:p>
  </w:footnote>
  <w:footnote w:id="1">
    <w:p w14:paraId="60862408" w14:textId="5ED4E082" w:rsidR="001D24D6" w:rsidRDefault="001D24D6" w:rsidP="001D24D6">
      <w:pPr>
        <w:pStyle w:val="Footer"/>
        <w:rPr>
          <w:sz w:val="20"/>
          <w:szCs w:val="20"/>
        </w:rPr>
      </w:pPr>
      <w:r w:rsidRPr="001D24D6">
        <w:rPr>
          <w:rStyle w:val="FootnoteReference"/>
          <w:sz w:val="20"/>
          <w:szCs w:val="20"/>
        </w:rPr>
        <w:footnoteRef/>
      </w:r>
      <w:r w:rsidRPr="001D24D6">
        <w:rPr>
          <w:sz w:val="20"/>
          <w:szCs w:val="20"/>
        </w:rPr>
        <w:t xml:space="preserve"> </w:t>
      </w:r>
      <w:r w:rsidRPr="001D24D6">
        <w:rPr>
          <w:sz w:val="20"/>
          <w:szCs w:val="20"/>
        </w:rPr>
        <w:t>The RPBP gauges the change in bond price for a one basis point change in yield</w:t>
      </w:r>
      <w:r w:rsidR="00BD2692">
        <w:rPr>
          <w:sz w:val="20"/>
          <w:szCs w:val="20"/>
        </w:rPr>
        <w:t xml:space="preserve"> (</w:t>
      </w:r>
      <w:r w:rsidR="00BD2692">
        <w:rPr>
          <w:rFonts w:cstheme="minorHAnsi"/>
          <w:sz w:val="20"/>
          <w:szCs w:val="20"/>
        </w:rPr>
        <w:t>∆</w:t>
      </w:r>
      <w:r w:rsidR="00BD2692">
        <w:rPr>
          <w:sz w:val="20"/>
          <w:szCs w:val="20"/>
        </w:rPr>
        <w:t>y)</w:t>
      </w:r>
      <w:r w:rsidRPr="001D24D6">
        <w:rPr>
          <w:sz w:val="20"/>
          <w:szCs w:val="20"/>
        </w:rPr>
        <w:t>. The price difference is approximated using the bonds Modified Duration (</w:t>
      </w:r>
      <w:proofErr w:type="spellStart"/>
      <w:r w:rsidRPr="001D24D6">
        <w:rPr>
          <w:sz w:val="20"/>
          <w:szCs w:val="20"/>
        </w:rPr>
        <w:t>MDur</w:t>
      </w:r>
      <w:proofErr w:type="spellEnd"/>
      <w:r w:rsidRPr="001D24D6">
        <w:rPr>
          <w:sz w:val="20"/>
          <w:szCs w:val="20"/>
        </w:rPr>
        <w:t xml:space="preserve">) and Convexity (Conv) measures </w:t>
      </w:r>
      <w:r w:rsidRPr="001D24D6">
        <w:rPr>
          <w:sz w:val="20"/>
          <w:szCs w:val="20"/>
        </w:rPr>
        <w:t>as shown below:</w:t>
      </w:r>
    </w:p>
    <w:p w14:paraId="7E79400D" w14:textId="77777777" w:rsidR="001D24D6" w:rsidRDefault="001D24D6" w:rsidP="001D24D6">
      <w:pPr>
        <w:pStyle w:val="Footer"/>
        <w:rPr>
          <w:sz w:val="20"/>
          <w:szCs w:val="20"/>
        </w:rPr>
      </w:pPr>
    </w:p>
    <w:p w14:paraId="35C764D5" w14:textId="1B0F7C6E" w:rsidR="001D24D6" w:rsidRPr="00BD2692" w:rsidRDefault="00BD2692" w:rsidP="00BD2692">
      <w:pPr>
        <w:pStyle w:val="Footer"/>
        <w:ind w:firstLine="2880"/>
        <w:rPr>
          <w:b/>
          <w:bCs/>
          <w:sz w:val="20"/>
          <w:szCs w:val="20"/>
        </w:rPr>
      </w:pPr>
      <w:r w:rsidRPr="00BD2692">
        <w:rPr>
          <w:rFonts w:cstheme="minorHAnsi"/>
          <w:b/>
          <w:bCs/>
          <w:sz w:val="20"/>
          <w:szCs w:val="20"/>
        </w:rPr>
        <w:t>∆</w:t>
      </w:r>
      <w:r w:rsidRPr="00BD2692">
        <w:rPr>
          <w:b/>
          <w:bCs/>
          <w:sz w:val="20"/>
          <w:szCs w:val="20"/>
        </w:rPr>
        <w:t>P = (-</w:t>
      </w:r>
      <w:proofErr w:type="spellStart"/>
      <w:r w:rsidRPr="00BD2692">
        <w:rPr>
          <w:b/>
          <w:bCs/>
          <w:sz w:val="20"/>
          <w:szCs w:val="20"/>
        </w:rPr>
        <w:t>MDur</w:t>
      </w:r>
      <w:proofErr w:type="spellEnd"/>
      <w:r w:rsidRPr="00BD2692">
        <w:rPr>
          <w:b/>
          <w:bCs/>
          <w:sz w:val="20"/>
          <w:szCs w:val="20"/>
        </w:rPr>
        <w:t xml:space="preserve">) x P x </w:t>
      </w:r>
      <w:r w:rsidRPr="00BD2692">
        <w:rPr>
          <w:rFonts w:cstheme="minorHAnsi"/>
          <w:b/>
          <w:bCs/>
          <w:sz w:val="20"/>
          <w:szCs w:val="20"/>
        </w:rPr>
        <w:t>∆</w:t>
      </w:r>
      <w:r w:rsidRPr="00BD2692">
        <w:rPr>
          <w:b/>
          <w:bCs/>
          <w:sz w:val="20"/>
          <w:szCs w:val="20"/>
        </w:rPr>
        <w:t xml:space="preserve">y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BD2692">
        <w:rPr>
          <w:rFonts w:eastAsiaTheme="minorEastAsia"/>
          <w:b/>
          <w:bCs/>
          <w:sz w:val="20"/>
          <w:szCs w:val="20"/>
        </w:rPr>
        <w:t xml:space="preserve"> x (Conv) x (</w:t>
      </w:r>
      <w:r w:rsidRPr="00BD2692">
        <w:rPr>
          <w:rFonts w:eastAsiaTheme="minorEastAsia" w:cstheme="minorHAnsi"/>
          <w:b/>
          <w:bCs/>
          <w:sz w:val="20"/>
          <w:szCs w:val="20"/>
        </w:rPr>
        <w:t>∆</w:t>
      </w:r>
      <w:r w:rsidRPr="00BD2692">
        <w:rPr>
          <w:rFonts w:eastAsiaTheme="minorEastAsia"/>
          <w:b/>
          <w:bCs/>
          <w:sz w:val="20"/>
          <w:szCs w:val="20"/>
        </w:rPr>
        <w:t>y)</w:t>
      </w:r>
      <w:r w:rsidRPr="00BD2692">
        <w:rPr>
          <w:rFonts w:eastAsiaTheme="minorEastAsia"/>
          <w:b/>
          <w:bCs/>
          <w:sz w:val="20"/>
          <w:szCs w:val="20"/>
          <w:vertAlign w:val="superscript"/>
        </w:rPr>
        <w:t>2</w:t>
      </w:r>
    </w:p>
    <w:p w14:paraId="7D3A0258" w14:textId="69C0B965" w:rsidR="001D24D6" w:rsidRPr="001D24D6" w:rsidRDefault="001D24D6">
      <w:pPr>
        <w:pStyle w:val="FootnoteText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4"/>
    <w:rsid w:val="00006772"/>
    <w:rsid w:val="0008764A"/>
    <w:rsid w:val="001D24D6"/>
    <w:rsid w:val="00262C3F"/>
    <w:rsid w:val="00263390"/>
    <w:rsid w:val="002733B7"/>
    <w:rsid w:val="003038CD"/>
    <w:rsid w:val="00316364"/>
    <w:rsid w:val="00350DD9"/>
    <w:rsid w:val="0074000C"/>
    <w:rsid w:val="00775BFD"/>
    <w:rsid w:val="0096798D"/>
    <w:rsid w:val="00A07D99"/>
    <w:rsid w:val="00AA78A7"/>
    <w:rsid w:val="00B53A93"/>
    <w:rsid w:val="00BD2692"/>
    <w:rsid w:val="00BE2910"/>
    <w:rsid w:val="00CC5A04"/>
    <w:rsid w:val="00D44B58"/>
    <w:rsid w:val="00D92422"/>
    <w:rsid w:val="00E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0EB57"/>
  <w15:chartTrackingRefBased/>
  <w15:docId w15:val="{639253BA-EA43-4B6F-A76D-30BD23E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93"/>
  </w:style>
  <w:style w:type="paragraph" w:styleId="Footer">
    <w:name w:val="footer"/>
    <w:basedOn w:val="Normal"/>
    <w:link w:val="FooterChar"/>
    <w:uiPriority w:val="99"/>
    <w:unhideWhenUsed/>
    <w:rsid w:val="00B5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93"/>
  </w:style>
  <w:style w:type="paragraph" w:styleId="FootnoteText">
    <w:name w:val="footnote text"/>
    <w:basedOn w:val="Normal"/>
    <w:link w:val="FootnoteTextChar"/>
    <w:uiPriority w:val="99"/>
    <w:semiHidden/>
    <w:unhideWhenUsed/>
    <w:rsid w:val="001D24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4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4D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D2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30E8-7FDA-4A65-A619-A507CE9F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Desigan Reddy</dc:creator>
  <cp:keywords/>
  <dc:description/>
  <cp:lastModifiedBy>Desigan Reddy</cp:lastModifiedBy>
  <cp:revision>14</cp:revision>
  <dcterms:created xsi:type="dcterms:W3CDTF">2023-08-31T11:44:00Z</dcterms:created>
  <dcterms:modified xsi:type="dcterms:W3CDTF">2023-08-31T13:24:00Z</dcterms:modified>
</cp:coreProperties>
</file>