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23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7250" cy="6819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6819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500" w:lineRule="exact" w:before="30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ОТЧЕТ ОБ ОЦЕНКЕ № О-0912/2022 </w:t>
      </w:r>
    </w:p>
    <w:p>
      <w:pPr>
        <w:autoSpaceDN w:val="0"/>
        <w:autoSpaceDE w:val="0"/>
        <w:widowControl/>
        <w:spacing w:line="49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 рыночной стоимости исключительного права на </w:t>
      </w:r>
    </w:p>
    <w:p>
      <w:pPr>
        <w:autoSpaceDN w:val="0"/>
        <w:autoSpaceDE w:val="0"/>
        <w:widowControl/>
        <w:spacing w:line="400" w:lineRule="exact" w:before="3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англоязычную версию программного обеспечения </w:t>
      </w:r>
    </w:p>
    <w:p>
      <w:pPr>
        <w:autoSpaceDN w:val="0"/>
        <w:autoSpaceDE w:val="0"/>
        <w:widowControl/>
        <w:spacing w:line="500" w:lineRule="exact" w:before="20" w:after="4782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«tNAVIGATOR», принадлежащего ООО «РфД»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02"/>
        <w:gridCol w:w="4802"/>
      </w:tblGrid>
      <w:tr>
        <w:trPr>
          <w:trHeight w:hRule="exact" w:val="476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О-0912/2022 </w:t>
            </w:r>
          </w:p>
        </w:tc>
      </w:tr>
      <w:tr>
        <w:trPr>
          <w:trHeight w:hRule="exact" w:val="472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отчета: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г. </w:t>
            </w:r>
          </w:p>
        </w:tc>
      </w:tr>
      <w:tr>
        <w:trPr>
          <w:trHeight w:hRule="exact" w:val="474"/>
        </w:trPr>
        <w:tc>
          <w:tcPr>
            <w:tcW w:type="dxa" w:w="39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41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г. </w:t>
            </w:r>
          </w:p>
        </w:tc>
      </w:tr>
    </w:tbl>
    <w:p>
      <w:pPr>
        <w:autoSpaceDN w:val="0"/>
        <w:autoSpaceDE w:val="0"/>
        <w:widowControl/>
        <w:spacing w:line="374" w:lineRule="exact" w:before="1098" w:after="0"/>
        <w:ind w:left="0" w:right="42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г. Москва </w:t>
      </w:r>
    </w:p>
    <w:p>
      <w:pPr>
        <w:autoSpaceDN w:val="0"/>
        <w:autoSpaceDE w:val="0"/>
        <w:widowControl/>
        <w:spacing w:line="374" w:lineRule="exact" w:before="198" w:after="0"/>
        <w:ind w:left="0" w:right="436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>2023 год</w:t>
      </w:r>
    </w:p>
    <w:p>
      <w:pPr>
        <w:sectPr>
          <w:pgSz w:w="11906" w:h="16838"/>
          <w:pgMar w:top="356" w:right="862" w:bottom="92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ИСПОЛНИТЕЛЬНОЕ РЕЗЮМЕ К ОТЧЁТУ № О-2012/2022 </w:t>
      </w:r>
    </w:p>
    <w:p>
      <w:pPr>
        <w:autoSpaceDN w:val="0"/>
        <w:autoSpaceDE w:val="0"/>
        <w:widowControl/>
        <w:spacing w:line="388" w:lineRule="exact" w:before="11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от 20 января 2023 года об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определении рыночной стоимости исключительного </w:t>
      </w:r>
    </w:p>
    <w:p>
      <w:pPr>
        <w:autoSpaceDN w:val="0"/>
        <w:autoSpaceDE w:val="0"/>
        <w:widowControl/>
        <w:spacing w:line="286" w:lineRule="exact" w:before="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права на англоязычную версию программного обеспечения «tNAVIGATOR», </w:t>
      </w:r>
    </w:p>
    <w:p>
      <w:pPr>
        <w:autoSpaceDN w:val="0"/>
        <w:autoSpaceDE w:val="0"/>
        <w:widowControl/>
        <w:spacing w:line="358" w:lineRule="exact" w:before="0" w:after="0"/>
        <w:ind w:left="0" w:right="331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принадлежащего ООО «РфД».</w:t>
      </w:r>
    </w:p>
    <w:p>
      <w:pPr>
        <w:autoSpaceDN w:val="0"/>
        <w:autoSpaceDE w:val="0"/>
        <w:widowControl/>
        <w:spacing w:line="270" w:lineRule="exact" w:before="142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2"/>
        </w:rPr>
        <w:t xml:space="preserve">г. Москва                                                                                                                               20 января 2023 года </w:t>
      </w:r>
    </w:p>
    <w:p>
      <w:pPr>
        <w:autoSpaceDN w:val="0"/>
        <w:autoSpaceDE w:val="0"/>
        <w:widowControl/>
        <w:spacing w:line="320" w:lineRule="exact" w:before="11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 декабря 2022 года,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заключенным между: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технологии» (Исполнитель)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и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Общество с ограниченной ответственностью «Рок Флоу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Динамикс» (Заказчик),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Исполнителя провел оценку рыночной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– исключительное право на англоязычную версию программного обеспечения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«tNAVIGATOR», принадлежащее ООО «РфД» на праве собственности. 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Настоящее Исполнительное резюме содержит основную информацию о результатах проведенной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представленной в отчете об оценке №О-0912/2022 от 20 января 2023 года. </w:t>
      </w:r>
    </w:p>
    <w:p>
      <w:pPr>
        <w:autoSpaceDN w:val="0"/>
        <w:autoSpaceDE w:val="0"/>
        <w:widowControl/>
        <w:spacing w:line="220" w:lineRule="exact" w:before="158" w:after="16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488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08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5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2" w:after="0"/>
                    <w:ind w:left="244" w:right="31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Рыночная стоимость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Определение рыночной стоимости объекта оценки </w:t>
            </w:r>
          </w:p>
        </w:tc>
      </w:tr>
      <w:tr>
        <w:trPr>
          <w:trHeight w:hRule="exact" w:val="996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Назначение оценки (предполагаемое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использование 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Настоящий Отчет может быть использован как документ, определяющий рыночную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объекта оценки для консультирования Заказчика для заключения договора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цессии (переуступка прав). Результатом оценки является итоговая величина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стоимости объекта оценки. </w:t>
            </w:r>
          </w:p>
        </w:tc>
      </w:tr>
      <w:tr>
        <w:trPr>
          <w:trHeight w:hRule="exact" w:val="79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97" w:type="dxa"/>
            </w:tblPr>
            <w:tblGrid>
              <w:gridCol w:w="1086"/>
              <w:gridCol w:w="1086"/>
              <w:gridCol w:w="1086"/>
            </w:tblGrid>
            <w:tr>
              <w:trPr>
                <w:trHeight w:hRule="exact" w:val="208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Ограничения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по </w:t>
                  </w:r>
                </w:p>
              </w:tc>
              <w:tc>
                <w:tcPr>
                  <w:tcW w:type="dxa" w:w="1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18"/>
                    </w:rPr>
                    <w:t xml:space="preserve">использованию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8" w:lineRule="exact" w:before="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2" w:right="6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Любое иное использование отчета об оценке, как документа, содержащего сведения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доказательственного значения, возможно только с согласия Оценщика, выраженного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в письменной форме.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09 декабря 2022 года </w:t>
            </w:r>
          </w:p>
        </w:tc>
      </w:tr>
      <w:tr>
        <w:trPr>
          <w:trHeight w:hRule="exact" w:val="3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Дата составления отчёта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 января 2023 года </w:t>
            </w:r>
          </w:p>
        </w:tc>
      </w:tr>
      <w:tr>
        <w:trPr>
          <w:trHeight w:hRule="exact" w:val="37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Период проведения работ по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 09 декабря 2022 года по 20 января 2023 года </w:t>
            </w:r>
          </w:p>
        </w:tc>
      </w:tr>
      <w:tr>
        <w:trPr>
          <w:trHeight w:hRule="exact" w:val="47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 xml:space="preserve">Договор на проведение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№ О-0912/2022 от 09 декабря 2022 года </w:t>
            </w:r>
          </w:p>
        </w:tc>
      </w:tr>
    </w:tbl>
    <w:p>
      <w:pPr>
        <w:autoSpaceDN w:val="0"/>
        <w:autoSpaceDE w:val="0"/>
        <w:widowControl/>
        <w:spacing w:line="197" w:lineRule="auto" w:before="24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8" w:lineRule="exact" w:before="4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исключительного (авторского и смежного) права на англоязычную версию </w:t>
      </w:r>
    </w:p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«tNAVIGATOR», на английском, испанском и китайском языках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территории всех стран мира за исключением России, Белоруссии и Казахстана по состоянию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дату оценки 09 декабря 2022 года, с учетом округления составляет: </w:t>
      </w:r>
    </w:p>
    <w:p>
      <w:pPr>
        <w:autoSpaceDN w:val="0"/>
        <w:autoSpaceDE w:val="0"/>
        <w:widowControl/>
        <w:spacing w:line="310" w:lineRule="exact" w:before="414" w:after="0"/>
        <w:ind w:left="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330 564 000,00 (Триста тридцать миллионов пятьсот шестьдесят четыре тысячи рублей). </w:t>
      </w:r>
    </w:p>
    <w:p>
      <w:pPr>
        <w:autoSpaceDN w:val="0"/>
        <w:tabs>
          <w:tab w:pos="2822" w:val="left"/>
        </w:tabs>
        <w:autoSpaceDE w:val="0"/>
        <w:widowControl/>
        <w:spacing w:line="204" w:lineRule="exact" w:before="6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Генеральный директор ООО «Универсальные бизнес технологии» ______________/Плаксин Д.А./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8"/>
        </w:rPr>
        <w:t xml:space="preserve">МП </w:t>
      </w:r>
    </w:p>
    <w:p>
      <w:pPr>
        <w:autoSpaceDN w:val="0"/>
        <w:autoSpaceDE w:val="0"/>
        <w:widowControl/>
        <w:spacing w:line="197" w:lineRule="auto" w:before="11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222" w:val="left"/>
          <w:tab w:pos="4026" w:val="left"/>
        </w:tabs>
        <w:autoSpaceDE w:val="0"/>
        <w:widowControl/>
        <w:spacing w:line="400" w:lineRule="exact" w:before="0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ОГЛАВЛЕНИЕ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1. ОСНОВНЫЕ ФАКТЫ И ВЫВОДЫ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 5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2. ИНФОРМАЦИЯ, СОДЕРЖАЩАЯСЯ В ЗАДАНИИ НА ОЦЕНКУ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 7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3. СВЕДЕНИЯ ОБ ОЦЕНЩИКЕ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 9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4. СВЕДЕНИЯ О ЗАКАЗЧИКЕ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5. СВЕДЕНИЯ ОБ ОЦЕНОЧНОЙ КОМПАНИИ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6. СВЕДЕНИЯ О НЕЗАВИСИМОСТИ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 10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7. СВЕДЕНИЯ О ВНЕШНИХ ОРГАНИЗАЦИЯХ И СПЕЦИАЛИСТАХ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8. СТАНДАРТЫ ОЦЕНКИ И МЕТОДИЧЕСКИЕ РЕКОМЕНДАЦИИ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 11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9. ОСНОВНЫЕ ПОНЯТИЯ И ТЕРМИНЫ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 12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 ОПИСАНИЕ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 16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10.1. Перечень использованных документов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 18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 ДОПУЩЕНИЯ И ОГРАНИЧЕНИЯ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11.1. Специальные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 18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11.2. Существенные допущения, не являющиеся специальными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 19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11.3. Прочие допущения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 20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 АНАЛИЗ РЫНКА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12.1.  АНАЛИЗ ПОЛОЖЕНИЯ РОССИЙСКОЙ ФЕДЕРАЦИИ В МИРЕ.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 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12.2.  АНАЛИЗ РЫНКА ОБЪЕКТА ОЦЕНКИ.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24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 ОПИСАНИЕ ПРОЦЕССА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13.1. Последовательность определения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 33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13.2. Иные сведения, необходимые для полного и достаточного представления результата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13.3.  Обоснование выбора подходов и методов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 34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13.4. Затратный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 35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13.5. Сравнительный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 38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13.6. Доходный подход к оценке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...................................................................................................................... 39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13.7. РАСЧЕТ РЫНОЧНОЙ СТОИМОСТИ ОБЪЕКТА ОЦЕНКИ ДОХОДНЫМ ПОДХОДОМ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 40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13.8. Согласование результатов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 53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14. РЕЗУЛЬТАТЫ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................................................................................................................................ 54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1: ДОКУМЕНТЫ ОЦЕНЩИКА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.............................................................................................. 56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ПРИЛОЖЕНИЕ 2: ДОКУМЕНТЫ ОЦЕНОЧНОЙ ФИРМЫ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............................................................................ 71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ПРИЛОЖЕНИЕ № 3: ИНФОРМАЦИЯ ИЗ ОТКРЫТЫХ ИСТОЧНИКОВ, ИСПОЛЬЗОВАННАЯ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ОЦЕНЩИКОМ ДЛЯ РАСЧЕТА СТОИМОСТИ ОБЪЕКТА ОЦЕНКИ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........................................................... 74 </w:t>
      </w:r>
    </w:p>
    <w:p>
      <w:pPr>
        <w:autoSpaceDN w:val="0"/>
        <w:autoSpaceDE w:val="0"/>
        <w:widowControl/>
        <w:spacing w:line="197" w:lineRule="auto" w:before="104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 ОСНОВНЫЕ ФАКТЫ И ВЫВОДЫ </w:t>
      </w:r>
    </w:p>
    <w:p>
      <w:pPr>
        <w:autoSpaceDN w:val="0"/>
        <w:autoSpaceDE w:val="0"/>
        <w:widowControl/>
        <w:spacing w:line="276" w:lineRule="exact" w:before="0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1-1 Основные факты и выводы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4884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Общая информация,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идентифицирующая объект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4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6.00000000000023" w:type="dxa"/>
            </w:tblPr>
            <w:tblGrid>
              <w:gridCol w:w="3474"/>
              <w:gridCol w:w="3474"/>
            </w:tblGrid>
            <w:tr>
              <w:trPr>
                <w:trHeight w:hRule="exact" w:val="385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38" w:right="318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</w:tc>
              <w:tc>
                <w:tcPr>
                  <w:tcW w:type="dxa" w:w="5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94" w:after="0"/>
                    <w:ind w:left="324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24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09.12.2022 г. </w:t>
            </w:r>
          </w:p>
        </w:tc>
      </w:tr>
      <w:tr>
        <w:trPr>
          <w:trHeight w:hRule="exact" w:val="93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Стоимость, полученная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применении разных подходов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Сравнительный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Затратный подход: обоснованный отказ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Доходный подход: 330 564 000,00 (Триста тридцать миллионов пятьсот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шестьдесят четыре тысячи рублей). </w:t>
            </w:r>
          </w:p>
        </w:tc>
      </w:tr>
      <w:tr>
        <w:trPr>
          <w:trHeight w:hRule="exact" w:val="5762"/>
        </w:trPr>
        <w:tc>
          <w:tcPr>
            <w:tcW w:type="dxa" w:w="283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Итоговая величина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объекта оценки: </w:t>
            </w:r>
          </w:p>
        </w:tc>
        <w:tc>
          <w:tcPr>
            <w:tcW w:type="dxa" w:w="69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на исключительное (авторское и смежное) право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англоязычную версию программного обеспечения «tNAVIGATOR», на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английском, 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22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исключением России, Белоруссии и Казахстана, в том числе на следующие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модули: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2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     составила: 330 564 000,00 (Триста тридцать миллионов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пятьсот шестьдесят четыре тысячи рублей). </w:t>
            </w:r>
          </w:p>
        </w:tc>
      </w:tr>
      <w:tr>
        <w:trPr>
          <w:trHeight w:hRule="exact" w:val="928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Ограничения и пределы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применения полученного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результата, существенные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допущения: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242"/>
        </w:trPr>
        <w:tc>
          <w:tcPr>
            <w:tcW w:type="dxa" w:w="28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составления и </w:t>
            </w:r>
          </w:p>
        </w:tc>
        <w:tc>
          <w:tcPr>
            <w:tcW w:type="dxa" w:w="69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января 2023 года № О-0912/2022 </w:t>
            </w:r>
          </w:p>
        </w:tc>
      </w:tr>
    </w:tbl>
    <w:p>
      <w:pPr>
        <w:autoSpaceDN w:val="0"/>
        <w:autoSpaceDE w:val="0"/>
        <w:widowControl/>
        <w:spacing w:line="197" w:lineRule="auto" w:before="22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65"/>
        <w:gridCol w:w="5065"/>
      </w:tblGrid>
      <w:tr>
        <w:trPr>
          <w:trHeight w:hRule="exact" w:val="240"/>
        </w:trPr>
        <w:tc>
          <w:tcPr>
            <w:tcW w:type="dxa" w:w="28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порядковый номер отчета: </w:t>
            </w:r>
          </w:p>
        </w:tc>
        <w:tc>
          <w:tcPr>
            <w:tcW w:type="dxa" w:w="69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00"/>
        </w:trPr>
        <w:tc>
          <w:tcPr>
            <w:tcW w:type="dxa" w:w="28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Основание для проведения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оценщиком оценки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оценки: </w:t>
            </w:r>
          </w:p>
        </w:tc>
        <w:tc>
          <w:tcPr>
            <w:tcW w:type="dxa" w:w="69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Договор на проведение оценки № О-0912/2022 от 09.12.2022г. </w:t>
            </w:r>
          </w:p>
        </w:tc>
      </w:tr>
    </w:tbl>
    <w:p>
      <w:pPr>
        <w:autoSpaceDN w:val="0"/>
        <w:autoSpaceDE w:val="0"/>
        <w:widowControl/>
        <w:spacing w:line="40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7.99999999999997" w:type="dxa"/>
      </w:tblPr>
      <w:tblGrid>
        <w:gridCol w:w="5065"/>
        <w:gridCol w:w="5065"/>
      </w:tblGrid>
      <w:tr>
        <w:trPr>
          <w:trHeight w:hRule="exact" w:val="374"/>
        </w:trPr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Генеральный директор ООО 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60" w:after="0"/>
              <w:ind w:left="0" w:right="54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/Плаксин Д.А./</w:t>
            </w:r>
          </w:p>
        </w:tc>
      </w:tr>
    </w:tbl>
    <w:p>
      <w:pPr>
        <w:autoSpaceDN w:val="0"/>
        <w:autoSpaceDE w:val="0"/>
        <w:widowControl/>
        <w:spacing w:line="244" w:lineRule="exact" w:before="10" w:after="0"/>
        <w:ind w:left="1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«Универсальные Бизнес Технологии»</w:t>
      </w:r>
    </w:p>
    <w:p>
      <w:pPr>
        <w:autoSpaceDN w:val="0"/>
        <w:tabs>
          <w:tab w:pos="7468" w:val="left"/>
        </w:tabs>
        <w:autoSpaceDE w:val="0"/>
        <w:widowControl/>
        <w:spacing w:line="306" w:lineRule="exact" w:before="644" w:after="0"/>
        <w:ind w:left="1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Оценщик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/Баранова О.И./ </w:t>
      </w:r>
    </w:p>
    <w:p>
      <w:pPr>
        <w:autoSpaceDN w:val="0"/>
        <w:autoSpaceDE w:val="0"/>
        <w:widowControl/>
        <w:spacing w:line="197" w:lineRule="auto" w:before="112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6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688" w:val="left"/>
        </w:tabs>
        <w:autoSpaceDE w:val="0"/>
        <w:widowControl/>
        <w:spacing w:line="272" w:lineRule="exact" w:before="116" w:after="210"/>
        <w:ind w:left="0" w:right="72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2. ИНФОРМАЦИЯ, СОДЕРЖАЩАЯСЯ В ЗАДАНИИ НА ОЦЕНКУ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2-1 Информация, содержащаяся в задании на оценку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Требования ФСО к составу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Задания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ФСО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1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9"/>
              </w:rPr>
              <w:t xml:space="preserve">Состав Задания на оценку </w:t>
            </w:r>
          </w:p>
        </w:tc>
      </w:tr>
    </w:tbl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506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237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0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IV; п.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5 ФСО III;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6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Исключительное (авторское и смежное) право на англоязычную версию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1202"/>
              <w:gridCol w:w="1202"/>
              <w:gridCol w:w="1202"/>
              <w:gridCol w:w="1202"/>
              <w:gridCol w:w="1202"/>
            </w:tblGrid>
            <w:tr>
              <w:trPr>
                <w:trHeight w:hRule="exact" w:val="218"/>
              </w:trPr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программного </w:t>
                  </w:r>
                </w:p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обеспечения 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«tNAVIGATOR», </w:t>
                  </w:r>
                </w:p>
              </w:tc>
              <w:tc>
                <w:tcPr>
                  <w:tcW w:type="dxa" w:w="4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4" w:after="0"/>
                    <w:ind w:left="11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английском,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10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испанском и китайском языках на территории всех стран мира за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исключением России, Белоруссии и Казахстана, в том числе на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следующие модули: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Model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Geology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Well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PVT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Network Designer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GUI (Graphical User Interface)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Black Oil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Compositional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Thermal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Multiple Realizations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Large Data Set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Simulation Results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Batch Jobs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Remote GUI </w:t>
            </w:r>
          </w:p>
          <w:p>
            <w:pPr>
              <w:autoSpaceDN w:val="0"/>
              <w:tabs>
                <w:tab w:pos="814" w:val="left"/>
              </w:tabs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•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Manuals 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Цель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Определение рыночной стоимости Объекта оценки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то, что оценка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проводится в соответствии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 Законом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проводится в соответствии с требованиями Федерального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закона от 29.07.1998 № 135-ФЗ «Об оценочной деятельности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Российской Федерации»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Вид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II;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Рыночная стоимость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Предпосылки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3 ФСО II;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17 ФСО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II; 17 и 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II; п.п.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п. 3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7.999999999999545" w:type="dxa"/>
            </w:tblPr>
            <w:tblGrid>
              <w:gridCol w:w="859"/>
              <w:gridCol w:w="859"/>
              <w:gridCol w:w="859"/>
              <w:gridCol w:w="859"/>
              <w:gridCol w:w="859"/>
              <w:gridCol w:w="859"/>
              <w:gridCol w:w="859"/>
            </w:tblGrid>
            <w:tr>
              <w:trPr>
                <w:trHeight w:hRule="exact" w:val="274"/>
              </w:trPr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Настоящий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Отчет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может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быть </w:t>
                  </w:r>
                </w:p>
              </w:tc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использован </w:t>
                  </w:r>
                </w:p>
              </w:tc>
              <w:tc>
                <w:tcPr>
                  <w:tcW w:type="dxa" w:w="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как </w:t>
                  </w:r>
                </w:p>
              </w:tc>
              <w:tc>
                <w:tcPr>
                  <w:tcW w:type="dxa" w:w="9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8" w:lineRule="exact" w:before="52" w:after="0"/>
                    <w:ind w:left="324" w:right="0" w:hanging="24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документ,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оценки </w:t>
                  </w:r>
                </w:p>
              </w:tc>
            </w:tr>
            <w:tr>
              <w:trPr>
                <w:trHeight w:hRule="exact" w:val="484"/>
              </w:trPr>
              <w:tc>
                <w:tcPr>
                  <w:tcW w:type="dxa" w:w="4960"/>
                  <w:gridSpan w:val="6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714" w:val="left"/>
                      <w:tab w:pos="2984" w:val="left"/>
                      <w:tab w:pos="4234" w:val="left"/>
                    </w:tabs>
                    <w:autoSpaceDE w:val="0"/>
                    <w:widowControl/>
                    <w:spacing w:line="210" w:lineRule="exact" w:before="4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определяющий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рыночную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стоимость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52" w:lineRule="exact" w:before="0" w:after="0"/>
                    <w:ind w:left="6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консультирования Заказчика для совершения сделки. </w:t>
                  </w:r>
                </w:p>
              </w:tc>
              <w:tc>
                <w:tcPr>
                  <w:tcW w:type="dxa" w:w="859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70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Основания для установления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предпосылок 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22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Дата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IV.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09 декабря 2022 года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04" w:val="left"/>
                <w:tab w:pos="2098" w:val="left"/>
              </w:tabs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Режим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предоставленной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правовой </w:t>
            </w:r>
            <w:r>
              <w:tab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собственности, включая объем,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сроки, территории правовой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охраны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П.8 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5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Отсутствует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34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4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Специальные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допущения,</w:t>
            </w:r>
          </w:p>
          <w:p>
            <w:pPr>
              <w:autoSpaceDN w:val="0"/>
              <w:tabs>
                <w:tab w:pos="1656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наличие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ограничений </w:t>
            </w:r>
          </w:p>
          <w:p>
            <w:pPr>
              <w:autoSpaceDN w:val="0"/>
              <w:tabs>
                <w:tab w:pos="1496" w:val="left"/>
                <w:tab w:pos="1784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(обременении)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отношении </w:t>
            </w:r>
          </w:p>
          <w:p>
            <w:pPr>
              <w:autoSpaceDN w:val="0"/>
              <w:tabs>
                <w:tab w:pos="1814" w:val="left"/>
                <w:tab w:pos="2512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исключительных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прав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интеллектуальную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собственность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</w:p>
          <w:p>
            <w:pPr>
              <w:autoSpaceDN w:val="0"/>
              <w:autoSpaceDE w:val="0"/>
              <w:widowControl/>
              <w:spacing w:line="22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4 – 6 ФСО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III, п.8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22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Оценка производится в отсутствие документально подтвержденных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обременений в отношении объекта оценки, оценка проводится исходя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из предположения об отсутствии таких обременений.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405"/>
              <w:gridCol w:w="1405"/>
            </w:tblGrid>
            <w:tr>
              <w:trPr>
                <w:trHeight w:hRule="exact" w:val="434"/>
              </w:trPr>
              <w:tc>
                <w:tcPr>
                  <w:tcW w:type="dxa" w:w="1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6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Иные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допущения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0" w:after="0"/>
                    <w:ind w:left="25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9"/>
                    </w:rPr>
                    <w:t xml:space="preserve">существенные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Иные существенные допущения, которые не являются специальными</w:t>
            </w:r>
          </w:p>
        </w:tc>
      </w:tr>
    </w:tbl>
    <w:p>
      <w:pPr>
        <w:autoSpaceDN w:val="0"/>
        <w:autoSpaceDE w:val="0"/>
        <w:widowControl/>
        <w:spacing w:line="197" w:lineRule="auto" w:before="216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7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46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8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7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1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Оценщиком в силу специфики объекта оценки осмотр не проводится 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906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58" w:val="left"/>
                <w:tab w:pos="1278" w:val="left"/>
                <w:tab w:pos="2062" w:val="left"/>
              </w:tabs>
              <w:autoSpaceDE w:val="0"/>
              <w:widowControl/>
              <w:spacing w:line="218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Ограничения на использование,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распространение и публикацию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0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8 п. 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06" w:after="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Публикация информации, содержащийся в отчете об оценке,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допускается только с письменного разрешения Оценщика. Других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ограничений на использование нет.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68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на форму составления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отчета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9 п. 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6 ФСО VI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2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бумажном носителе в количестве 3 экземпляров в формате pdf,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подписанных Исполнителем</w:t>
            </w:r>
          </w:p>
        </w:tc>
      </w:tr>
    </w:tbl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58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36" w:val="left"/>
              </w:tabs>
              <w:autoSpaceDE w:val="0"/>
              <w:widowControl/>
              <w:spacing w:line="210" w:lineRule="exact" w:before="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информация, </w:t>
            </w:r>
          </w:p>
          <w:p>
            <w:pPr>
              <w:autoSpaceDN w:val="0"/>
              <w:tabs>
                <w:tab w:pos="1758" w:val="left"/>
                <w:tab w:pos="241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предусмотренная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для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отражения в задании на оценку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8, 9 ФСО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7;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5 ФСО 8;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6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10;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8 – 9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11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Отсутствует</w:t>
            </w:r>
          </w:p>
        </w:tc>
      </w:tr>
      <w:tr>
        <w:trPr>
          <w:trHeight w:hRule="exact" w:val="553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Состав и объем документов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материалов, представляемых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заказчиком оценки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52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1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Устав ООО «Рок Флоу Динамикс» от 28.09.2017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Свидетельство о государственной регистрации программы для ЭВМ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№2013612152 «tNavigator»;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2018 год;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2019 год;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2020 год; </w:t>
            </w:r>
          </w:p>
          <w:p>
            <w:pPr>
              <w:autoSpaceDN w:val="0"/>
              <w:autoSpaceDE w:val="0"/>
              <w:widowControl/>
              <w:spacing w:line="21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Аудиторское заключение независимого аудитора о бухгалтерской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отчетности ООО «РфД» за 2021 год;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за 2005-2021 года, за 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месяцев 2022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Оборотно-сальдовая ведомость ООО «РфД» по счету 70 за 2006-2013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 от 09.01.2020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16 от 11.01.2021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Штатное расписание ООО «РфД» № 17 от 10.01.2022 года; </w:t>
            </w:r>
          </w:p>
        </w:tc>
      </w:tr>
      <w:tr>
        <w:trPr>
          <w:trHeight w:hRule="exact" w:val="940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60" w:val="left"/>
              </w:tabs>
              <w:autoSpaceDE w:val="0"/>
              <w:widowControl/>
              <w:spacing w:line="210" w:lineRule="exact" w:before="3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привлечения </w:t>
            </w:r>
          </w:p>
          <w:p>
            <w:pPr>
              <w:autoSpaceDN w:val="0"/>
              <w:tabs>
                <w:tab w:pos="1200" w:val="left"/>
                <w:tab w:pos="2598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внешних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организаций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квалифицированных 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отраслевых специалистов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2 п. 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ФСО IV;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2 ФСО III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36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Не требуется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124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Сведения </w:t>
            </w:r>
          </w:p>
          <w:p>
            <w:pPr>
              <w:autoSpaceDN w:val="0"/>
              <w:tabs>
                <w:tab w:pos="1356" w:val="left"/>
              </w:tabs>
              <w:autoSpaceDE w:val="0"/>
              <w:widowControl/>
              <w:spacing w:line="21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предполагаемых </w:t>
            </w:r>
          </w:p>
          <w:p>
            <w:pPr>
              <w:autoSpaceDN w:val="0"/>
              <w:tabs>
                <w:tab w:pos="1830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пользователях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и отчета об оценке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(помимо заказчика оценки)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3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Собственники Объекта оценки, потенциальные покупатели Объекта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</w:p>
        </w:tc>
      </w:tr>
      <w:tr>
        <w:trPr>
          <w:trHeight w:hRule="exact" w:val="506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Формы представления итоговой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стоимости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4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6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 оценки должен быть представлен в виде числа в валюте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>Российской Федерации.</w:t>
            </w:r>
          </w:p>
        </w:tc>
      </w:tr>
      <w:tr>
        <w:trPr>
          <w:trHeight w:hRule="exact" w:val="502"/>
        </w:trPr>
        <w:tc>
          <w:tcPr>
            <w:tcW w:type="dxa" w:w="281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Специфические требования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отчету об оценке </w:t>
            </w:r>
          </w:p>
        </w:tc>
        <w:tc>
          <w:tcPr>
            <w:tcW w:type="dxa" w:w="123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5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1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Отсутствуют 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.99999999999991" w:type="dxa"/>
      </w:tblPr>
      <w:tblGrid>
        <w:gridCol w:w="3407"/>
        <w:gridCol w:w="3407"/>
        <w:gridCol w:w="3407"/>
      </w:tblGrid>
      <w:tr>
        <w:trPr>
          <w:trHeight w:hRule="exact" w:val="1562"/>
        </w:trPr>
        <w:tc>
          <w:tcPr>
            <w:tcW w:type="dxa" w:w="2810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8" w:val="left"/>
                <w:tab w:pos="1460" w:val="left"/>
              </w:tabs>
              <w:autoSpaceDE w:val="0"/>
              <w:widowControl/>
              <w:spacing w:line="210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Указание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на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необходимость </w:t>
            </w:r>
          </w:p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проведения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дополнительных </w:t>
            </w:r>
          </w:p>
          <w:p>
            <w:pPr>
              <w:autoSpaceDN w:val="0"/>
              <w:autoSpaceDE w:val="0"/>
              <w:widowControl/>
              <w:spacing w:line="21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исследований и определения </w:t>
            </w:r>
          </w:p>
          <w:p>
            <w:pPr>
              <w:autoSpaceDN w:val="0"/>
              <w:tabs>
                <w:tab w:pos="830" w:val="left"/>
                <w:tab w:pos="1978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иных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расчетных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величин, </w:t>
            </w:r>
          </w:p>
          <w:p>
            <w:pPr>
              <w:autoSpaceDN w:val="0"/>
              <w:tabs>
                <w:tab w:pos="1268" w:val="left"/>
                <w:tab w:pos="1942" w:val="left"/>
              </w:tabs>
              <w:autoSpaceDE w:val="0"/>
              <w:widowControl/>
              <w:spacing w:line="210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которые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являются </w:t>
            </w:r>
          </w:p>
          <w:p>
            <w:pPr>
              <w:autoSpaceDN w:val="0"/>
              <w:tabs>
                <w:tab w:pos="1610" w:val="left"/>
                <w:tab w:pos="2606" w:val="left"/>
              </w:tabs>
              <w:autoSpaceDE w:val="0"/>
              <w:widowControl/>
              <w:spacing w:line="210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результатами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оценки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в </w:t>
            </w:r>
          </w:p>
          <w:p>
            <w:pPr>
              <w:autoSpaceDN w:val="0"/>
              <w:autoSpaceDE w:val="0"/>
              <w:widowControl/>
              <w:spacing w:line="25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соответствии с ФСО </w:t>
            </w:r>
          </w:p>
        </w:tc>
        <w:tc>
          <w:tcPr>
            <w:tcW w:type="dxa" w:w="1232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п.п. 6 п. 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ФСО IV </w:t>
            </w:r>
          </w:p>
        </w:tc>
        <w:tc>
          <w:tcPr>
            <w:tcW w:type="dxa" w:w="6012"/>
            <w:tcBorders>
              <w:start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3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9"/>
              </w:rPr>
              <w:t xml:space="preserve">Не требуется </w:t>
            </w:r>
          </w:p>
        </w:tc>
      </w:tr>
    </w:tbl>
    <w:p>
      <w:pPr>
        <w:autoSpaceDN w:val="0"/>
        <w:autoSpaceDE w:val="0"/>
        <w:widowControl/>
        <w:spacing w:line="197" w:lineRule="auto" w:before="244" w:after="0"/>
        <w:ind w:left="0" w:right="5084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8 </w:t>
      </w:r>
    </w:p>
    <w:p>
      <w:pPr>
        <w:sectPr>
          <w:pgSz w:w="11906" w:h="16838"/>
          <w:pgMar w:top="340" w:right="55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3. СВЕДЕНИЯ ОБ ОЦЕНЩИКЕ </w:t>
      </w:r>
    </w:p>
    <w:p>
      <w:pPr>
        <w:autoSpaceDN w:val="0"/>
        <w:autoSpaceDE w:val="0"/>
        <w:widowControl/>
        <w:spacing w:line="276" w:lineRule="exact" w:before="0" w:after="21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Таблица 3-1 Сведения об оценщике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67"/>
        <w:gridCol w:w="5067"/>
      </w:tblGrid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Оценщик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>Баранова Ольга Ивановна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профессиональный оценщик, судебный эксперт,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профессиональный главный бухгалтер 6-го уровня.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Контактный телефон </w:t>
            </w:r>
          </w:p>
        </w:tc>
        <w:tc>
          <w:tcPr>
            <w:tcW w:type="dxa" w:w="721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+7 (926) 481-20-47; +7 (911)350-38-92 </w:t>
            </w:r>
          </w:p>
        </w:tc>
      </w:tr>
      <w:tr>
        <w:trPr>
          <w:trHeight w:hRule="exact" w:val="274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e-mail: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katerins_123@mail.ru </w:t>
            </w:r>
          </w:p>
        </w:tc>
      </w:tr>
      <w:tr>
        <w:trPr>
          <w:trHeight w:hRule="exact" w:val="276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Почтовый адрес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644024, г. Омск, ул. Звездова, д.23, офис 501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Членство Оценщика в СРО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4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Член Ассоциации Саморегулируемой организации оценщиков «Экспертный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Совет»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находящейся по адресу:101000, г. Москва, Потаповский пер., д. 16/5, стр.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(Дом общественных организаций), Свидетельство о членстве от 04.03.2022г. рег.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номер 3004; </w:t>
            </w:r>
          </w:p>
        </w:tc>
      </w:tr>
      <w:tr>
        <w:trPr>
          <w:trHeight w:hRule="exact" w:val="101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6"/>
              </w:trPr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Сведения </w:t>
                  </w:r>
                </w:p>
              </w:tc>
              <w:tc>
                <w:tcPr>
                  <w:tcW w:type="dxa" w:w="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12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страховании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0" w:after="0"/>
              <w:ind w:left="10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ответственности оценщика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32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№0991R/776/40728/22 от 24.10.2022г. заключенного в АО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«АльфаСтрахование» на период с 07.11.2022г. по 06.11.2023г. страховая сумма 10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000 000руб. </w:t>
            </w:r>
          </w:p>
        </w:tc>
      </w:tr>
      <w:tr>
        <w:trPr>
          <w:trHeight w:hRule="exact" w:val="272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01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Квалификационный </w:t>
            </w:r>
          </w:p>
          <w:p>
            <w:pPr>
              <w:autoSpaceDN w:val="0"/>
              <w:tabs>
                <w:tab w:pos="1396" w:val="left"/>
                <w:tab w:pos="2024" w:val="left"/>
              </w:tabs>
              <w:autoSpaceDE w:val="0"/>
              <w:widowControl/>
              <w:spacing w:line="220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аттестат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области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по направлению: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«Оценка недвижимости»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, № 011571-1, дата выдачи 28.04.2018 г.; № 028080-1, 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выдачи 18.08.2021 г., действителен до 18.08.2024 г. </w:t>
            </w:r>
          </w:p>
          <w:p>
            <w:pPr>
              <w:autoSpaceDN w:val="0"/>
              <w:autoSpaceDE w:val="0"/>
              <w:widowControl/>
              <w:spacing w:line="248" w:lineRule="exact" w:before="172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 015959-3,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Оценка бизнеса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выдачи: 07.12.2018 г.; № 031968-3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26.11.2021г. сроком действия до 26.11.2024г. </w:t>
            </w:r>
          </w:p>
          <w:p>
            <w:pPr>
              <w:autoSpaceDN w:val="0"/>
              <w:autoSpaceDE w:val="0"/>
              <w:widowControl/>
              <w:spacing w:line="246" w:lineRule="exact" w:before="164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Квалификационный аттестат в области оценочной деятельности №019966-2,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направление: «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Оценка движимого имущества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дата выдачи 31.05.2021г.,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действителен до 31.05.2024г.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84"/>
              </w:trPr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6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6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1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24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0" w:lineRule="exact" w:before="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образовании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1031"/>
              <w:gridCol w:w="1031"/>
              <w:gridCol w:w="1031"/>
              <w:gridCol w:w="1031"/>
              <w:gridCol w:w="1031"/>
              <w:gridCol w:w="1031"/>
              <w:gridCol w:w="1031"/>
            </w:tblGrid>
            <w:tr>
              <w:trPr>
                <w:trHeight w:hRule="exact" w:val="230"/>
              </w:trPr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Диплом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высшем </w:t>
                  </w:r>
                </w:p>
              </w:tc>
              <w:tc>
                <w:tcPr>
                  <w:tcW w:type="dxa" w:w="1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образовании </w:t>
                  </w:r>
                </w:p>
              </w:tc>
              <w:tc>
                <w:tcPr>
                  <w:tcW w:type="dxa" w:w="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ДВС </w:t>
                  </w:r>
                </w:p>
              </w:tc>
              <w:tc>
                <w:tcPr>
                  <w:tcW w:type="dxa" w:w="1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№1970076 </w:t>
                  </w:r>
                </w:p>
              </w:tc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34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«Великолукской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2" w:lineRule="exact" w:before="0" w:after="0"/>
              <w:ind w:left="104" w:right="5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сельскохозяйственной академии» от 14.11.2002 года по специальности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«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Бухгалтерский учет и аудит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», стаж работы в должности главного бухгалтера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свыше 25 лет. </w:t>
            </w:r>
          </w:p>
        </w:tc>
      </w:tr>
      <w:tr>
        <w:trPr>
          <w:trHeight w:hRule="exact" w:val="254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8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64"/>
              </w:trPr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4" w:after="0"/>
                    <w:ind w:left="6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Высшее </w:t>
                  </w:r>
                </w:p>
              </w:tc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образование 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0" w:after="0"/>
                    <w:ind w:left="0" w:right="1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в 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246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оценочной деятельности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60" w:val="left"/>
              </w:tabs>
              <w:autoSpaceDE w:val="0"/>
              <w:widowControl/>
              <w:spacing w:line="23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642404426124 выдан 30 июня 2016г.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Федеральное государственное бюджетное 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образования «СГТУ имени Гагарина Ю.А.» по специализации «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стоимости предприятия (бизнеса)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» по профилю направления 38.03.01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«Экономика», регистрационный номер 1081;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Диплом о профессиональной переподготовке № 772406368980, выданный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октября 2019 года, зарегистрированный за номером 051254, подтверждающий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прохождение профессиональной переподготовки по направлению «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Оценка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стоимости машин, оборудования и транспортных средств»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; </w:t>
            </w:r>
          </w:p>
        </w:tc>
      </w:tr>
      <w:tr>
        <w:trPr>
          <w:trHeight w:hRule="exact" w:val="391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1694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Повышение квалификации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 оценочной 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772407917010,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1369,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«Экспертиза по определению стоимости машин и оборудования».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772408248841,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0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октября 2019 года, зарегистрированное за номером 2203,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повышение квалификации по дополнительной профессиональной программе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«Экспертиза экологического ущерба».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Удостоверение о повышении квалификации № 772407917006, выданное </w:t>
            </w:r>
          </w:p>
          <w:p>
            <w:pPr>
              <w:autoSpaceDN w:val="0"/>
              <w:tabs>
                <w:tab w:pos="2122" w:val="left"/>
                <w:tab w:pos="3898" w:val="left"/>
                <w:tab w:pos="4920" w:val="left"/>
                <w:tab w:pos="6354" w:val="left"/>
              </w:tabs>
              <w:autoSpaceDE w:val="0"/>
              <w:widowControl/>
              <w:spacing w:line="222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Негосударственным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образовательным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частным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учреждением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высшего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образования «Московский финансово-промышленный университет «Синергия» </w:t>
            </w:r>
          </w:p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июня 2019 года, зарегистрированное за номером 1365, подтверждающее </w:t>
            </w:r>
          </w:p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повышение квалификации по дополнительной профессиональной программе</w:t>
            </w:r>
          </w:p>
        </w:tc>
      </w:tr>
    </w:tbl>
    <w:p>
      <w:pPr>
        <w:autoSpaceDN w:val="0"/>
        <w:autoSpaceDE w:val="0"/>
        <w:widowControl/>
        <w:spacing w:line="197" w:lineRule="auto" w:before="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9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72"/>
        </w:trPr>
        <w:tc>
          <w:tcPr>
            <w:tcW w:type="dxa" w:w="285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1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«Исследование промышленных (непродовольственных) товаров, в том числе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с целью проведения их оценки».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Стаж работы в оценочной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Стаж работы в области оценки свыше 6 лет </w:t>
            </w:r>
          </w:p>
        </w:tc>
      </w:tr>
    </w:tbl>
    <w:p>
      <w:pPr>
        <w:autoSpaceDN w:val="0"/>
        <w:autoSpaceDE w:val="0"/>
        <w:widowControl/>
        <w:spacing w:line="390" w:lineRule="exact" w:before="7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4. СВЕДЕНИЯ О ЗАКАЗЧИКЕ ОЦЕНКИ </w:t>
      </w:r>
    </w:p>
    <w:p>
      <w:pPr>
        <w:autoSpaceDN w:val="0"/>
        <w:autoSpaceDE w:val="0"/>
        <w:widowControl/>
        <w:spacing w:line="276" w:lineRule="exact" w:before="284" w:after="1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Таблица 4-1 Сведения о заказчике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466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Полное и (или) сокращенное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Динамикc»,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ООО «РфД»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ИНН/КПП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7702364555/772701001 </w:t>
            </w:r>
          </w:p>
        </w:tc>
      </w:tr>
      <w:tr>
        <w:trPr>
          <w:trHeight w:hRule="exact" w:val="242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1047702050483 присвоен 25.11.2004г. </w:t>
            </w:r>
          </w:p>
        </w:tc>
      </w:tr>
      <w:tr>
        <w:trPr>
          <w:trHeight w:hRule="exact" w:val="472"/>
        </w:trPr>
        <w:tc>
          <w:tcPr>
            <w:tcW w:type="dxa" w:w="2980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Место регистрации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4" w:right="158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Юридический адрес: 117418, г. Москва, улица Профсоюзная,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дом 25А, помещение XVII, эт. 2 </w:t>
            </w:r>
          </w:p>
        </w:tc>
      </w:tr>
      <w:tr>
        <w:trPr>
          <w:trHeight w:hRule="exact" w:val="47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 40702810287900000513 в Московский филиал ПАО РОСБАНК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30101810000000000256 БИК 044525256 </w:t>
            </w:r>
          </w:p>
        </w:tc>
      </w:tr>
      <w:tr>
        <w:trPr>
          <w:trHeight w:hRule="exact" w:val="240"/>
        </w:trPr>
        <w:tc>
          <w:tcPr>
            <w:tcW w:type="dxa" w:w="2980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Официальный сайт компании </w:t>
            </w:r>
          </w:p>
        </w:tc>
        <w:tc>
          <w:tcPr>
            <w:tcW w:type="dxa" w:w="7088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https://rfdyn.ru/career/ </w:t>
            </w:r>
          </w:p>
        </w:tc>
      </w:tr>
    </w:tbl>
    <w:p>
      <w:pPr>
        <w:autoSpaceDN w:val="0"/>
        <w:autoSpaceDE w:val="0"/>
        <w:widowControl/>
        <w:spacing w:line="388" w:lineRule="exact" w:before="4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5. СВЕДЕНИЯ ОБ ОЦЕНОЧНОЙ КОМПАНИИ </w:t>
      </w:r>
    </w:p>
    <w:p>
      <w:pPr>
        <w:autoSpaceDN w:val="0"/>
        <w:autoSpaceDE w:val="0"/>
        <w:widowControl/>
        <w:spacing w:line="276" w:lineRule="exact" w:before="288" w:after="8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Таблица 5-1 Сведения о юридическом лице, с которым Оценщик заключил трудовой договор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5075"/>
        <w:gridCol w:w="5075"/>
      </w:tblGrid>
      <w:tr>
        <w:trPr>
          <w:trHeight w:hRule="exact" w:val="70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32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Организация, </w:t>
                  </w:r>
                </w:p>
              </w:tc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11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которой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1.999999999999886" w:type="dxa"/>
            </w:tblPr>
            <w:tblGrid>
              <w:gridCol w:w="3608"/>
              <w:gridCol w:w="3608"/>
            </w:tblGrid>
            <w:tr>
              <w:trPr>
                <w:trHeight w:hRule="exact" w:val="678"/>
              </w:trPr>
              <w:tc>
                <w:tcPr>
                  <w:tcW w:type="dxa" w:w="6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190" w:val="left"/>
                      <w:tab w:pos="1538" w:val="left"/>
                      <w:tab w:pos="2992" w:val="left"/>
                      <w:tab w:pos="4804" w:val="left"/>
                    </w:tabs>
                    <w:autoSpaceDE w:val="0"/>
                    <w:widowControl/>
                    <w:spacing w:line="220" w:lineRule="exact" w:before="4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Общество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с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ограниченной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ответственностью </w:t>
                  </w:r>
                  <w:r>
                    <w:tab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«Универсальные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7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технологии» </w:t>
                  </w:r>
                </w:p>
                <w:p>
                  <w:pPr>
                    <w:autoSpaceDN w:val="0"/>
                    <w:autoSpaceDE w:val="0"/>
                    <w:widowControl/>
                    <w:spacing w:line="26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ООО «Универсальные бизнес технологии» (сокращенное наименование)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бизнес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102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ИНН/КПП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ОГРН </w:t>
            </w:r>
          </w:p>
        </w:tc>
        <w:tc>
          <w:tcPr>
            <w:tcW w:type="dxa" w:w="721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87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ИНН: 7726626538/772601001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ОГРН: 1097746173139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дата присвоения ОГРН: 27.03.2009 г. </w:t>
            </w:r>
          </w:p>
        </w:tc>
      </w:tr>
      <w:tr>
        <w:trPr>
          <w:trHeight w:hRule="exact" w:val="93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2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Юридический </w:t>
                  </w:r>
                </w:p>
              </w:tc>
              <w:tc>
                <w:tcPr>
                  <w:tcW w:type="dxa" w:w="32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234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с </w:t>
                  </w:r>
                </w:p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</w:tr>
            <w:tr>
              <w:trPr>
                <w:trHeight w:hRule="exact" w:val="236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предприятия,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  <w:tc>
                <w:tcPr>
                  <w:tcW w:type="dxa" w:w="9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" w:after="0"/>
                    <w:ind w:left="98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которым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2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оценщик заключил трудовой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договор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117545, г. Москва, 1-й Дорожный проезд, д.5 </w:t>
            </w:r>
          </w:p>
        </w:tc>
      </w:tr>
      <w:tr>
        <w:trPr>
          <w:trHeight w:hRule="exact" w:val="470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951"/>
              <w:gridCol w:w="951"/>
              <w:gridCol w:w="951"/>
            </w:tblGrid>
            <w:tr>
              <w:trPr>
                <w:trHeight w:hRule="exact" w:val="216"/>
              </w:trPr>
              <w:tc>
                <w:tcPr>
                  <w:tcW w:type="dxa" w:w="8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6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Адрес </w:t>
                  </w:r>
                </w:p>
              </w:tc>
              <w:tc>
                <w:tcPr>
                  <w:tcW w:type="dxa" w:w="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для 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202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почтовых </w:t>
                  </w:r>
                </w:p>
              </w:tc>
            </w:tr>
            <w:tr>
              <w:trPr>
                <w:trHeight w:hRule="exact" w:val="238"/>
              </w:trPr>
              <w:tc>
                <w:tcPr>
                  <w:tcW w:type="dxa" w:w="16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0" w:after="0"/>
                    <w:ind w:left="60" w:right="0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отправлений </w:t>
                  </w:r>
                </w:p>
              </w:tc>
              <w:tc>
                <w:tcPr>
                  <w:tcW w:type="dxa" w:w="951"/>
                  <w:vMerge/>
                  <w:tcBorders/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125212, г. Москва, Ленинградское ш, д.37-1-6Б </w:t>
            </w:r>
          </w:p>
        </w:tc>
      </w:tr>
      <w:tr>
        <w:trPr>
          <w:trHeight w:hRule="exact" w:val="468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Банковские реквизиты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201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Р/счет 40702810710000627083 в АО «ТИНЬКОФФ БАНК»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К/с 30101810145250000974 БИК 044525974 </w:t>
            </w:r>
          </w:p>
        </w:tc>
      </w:tr>
      <w:tr>
        <w:trPr>
          <w:trHeight w:hRule="exact" w:val="932"/>
        </w:trPr>
        <w:tc>
          <w:tcPr>
            <w:tcW w:type="dxa" w:w="285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6" w:after="0"/>
              <w:ind w:left="10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Данные о страховании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гражданской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ответственности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Исполнителя </w:t>
            </w:r>
          </w:p>
        </w:tc>
        <w:tc>
          <w:tcPr>
            <w:tcW w:type="dxa" w:w="72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4" w:right="5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Полис страхования ответственности оценщика при осуществлении оценочной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деятельности №022-073-008845/22 от 04.10.2022г. заключенного в ООО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«Абсолют Страхование» на период с 01.11.2022г. по 31.10.2023г. страховая сумма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10 000 000руб. </w:t>
            </w:r>
          </w:p>
        </w:tc>
      </w:tr>
    </w:tbl>
    <w:p>
      <w:pPr>
        <w:autoSpaceDN w:val="0"/>
        <w:autoSpaceDE w:val="0"/>
        <w:widowControl/>
        <w:spacing w:line="390" w:lineRule="exact" w:before="4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6. СВЕДЕНИЯ О НЕЗАВИСИМОСТИ </w:t>
      </w:r>
    </w:p>
    <w:p>
      <w:pPr>
        <w:autoSpaceDN w:val="0"/>
        <w:tabs>
          <w:tab w:pos="714" w:val="left"/>
        </w:tabs>
        <w:autoSpaceDE w:val="0"/>
        <w:widowControl/>
        <w:spacing w:line="336" w:lineRule="exact" w:before="68" w:after="12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 о независимости юридического лица, с которым оценщик заключил трудовой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договор, и оценщика в соответствии с требованиями статьи 16 Федерального закона: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31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Исполнитель 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подтверждают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полное 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соблюдение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принципов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независимости, установленных ст. 16 Федерального закона от 29.07.1998 г. №135-ФЗ «Об </w:t>
      </w:r>
    </w:p>
    <w:p>
      <w:pPr>
        <w:autoSpaceDN w:val="0"/>
        <w:tabs>
          <w:tab w:pos="714" w:val="left"/>
          <w:tab w:pos="1422" w:val="left"/>
        </w:tabs>
        <w:autoSpaceDE w:val="0"/>
        <w:widowControl/>
        <w:spacing w:line="322" w:lineRule="exact" w:before="0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оценочной деятельности в Российской Федерации», при осуществлении оценочной деятельности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составлении настоящего Отчета об оценке;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являются учредителями, собственниками, акционерами,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должностными лицами, аффилированными лицами или работниками юридического лица – </w:t>
      </w:r>
    </w:p>
    <w:p>
      <w:pPr>
        <w:autoSpaceDN w:val="0"/>
        <w:autoSpaceDE w:val="0"/>
        <w:widowControl/>
        <w:spacing w:line="197" w:lineRule="auto" w:before="55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10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заказчика, лицами, имеющими имущественный интерес в объекте оценки. Оценщик не состоят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указанными лицами в близком родстве или свойстве;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 Исполнитель не имеют в отношении Объекта оценки вещных или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обязательственных прав вне договора и не являются участниками (членами) или кредиторами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юридического лица – заказчика, равно как и заказчик не является кредитором или страховщиком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 и Исполнителя;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Размер оплаты Оценщику и Исполнителю за проведение оценки Объекта оценки не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зависит от итоговой величины стоимости Объекта оценки, указанной в настоящем Отчете об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оценке. </w:t>
      </w:r>
    </w:p>
    <w:p>
      <w:pPr>
        <w:autoSpaceDN w:val="0"/>
        <w:autoSpaceDE w:val="0"/>
        <w:widowControl/>
        <w:spacing w:line="388" w:lineRule="exact" w:before="47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7. СВЕДЕНИЯ О ВНЕШНИХ ОРГАНИЗАЦИЯХ И СПЕЦИАЛИСТАХ </w:t>
      </w:r>
    </w:p>
    <w:p>
      <w:pPr>
        <w:autoSpaceDN w:val="0"/>
        <w:autoSpaceDE w:val="0"/>
        <w:widowControl/>
        <w:spacing w:line="322" w:lineRule="exact" w:before="86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обо всех привлеченных к проведению оценки и подготовке отчета об оценке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внешних организациях и квалифицированных отраслевых специалистах (п. п. 8 п. 7 ФСО VI)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указанием их квалификации, опыта и степени их участия в проведении оценки объекта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организации и специалисты не привлекались. </w:t>
      </w:r>
    </w:p>
    <w:p>
      <w:pPr>
        <w:autoSpaceDN w:val="0"/>
        <w:autoSpaceDE w:val="0"/>
        <w:widowControl/>
        <w:spacing w:line="388" w:lineRule="exact" w:before="48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8. СТАНДАРТЫ ОЦЕНКИ И МЕТОДИЧЕСКИЕ РЕКОМЕНДАЦИИ </w:t>
      </w:r>
    </w:p>
    <w:p>
      <w:pPr>
        <w:autoSpaceDN w:val="0"/>
        <w:autoSpaceDE w:val="0"/>
        <w:widowControl/>
        <w:spacing w:line="266" w:lineRule="exact" w:before="14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Указание на стандарты оценки для определения стоимости объекта оценки, методические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рекомендации по оценке, разработанные в целях развития положений утвержденных федеральных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стандартов оценки и одобренные советом по оценочной деятельности при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России, или обоснование неиспользования указанных методических рекомендаций: </w:t>
      </w:r>
    </w:p>
    <w:p>
      <w:pPr>
        <w:autoSpaceDN w:val="0"/>
        <w:tabs>
          <w:tab w:pos="710" w:val="left"/>
          <w:tab w:pos="1418" w:val="left"/>
        </w:tabs>
        <w:autoSpaceDE w:val="0"/>
        <w:widowControl/>
        <w:spacing w:line="332" w:lineRule="exact" w:before="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Общие федеральные стандарты оценки, утвержденные Приказом Минэкономразвития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от 14.04.2022 №200: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«Структура федеральных стандартов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основные понятия, используемые в федеральных стандартах оценки (ФСО 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«Виды стоимости (ФСО II)»;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«Процесс оценки (ФСО III)»;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«Задание на оценку (ФСО IV)»;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«Подходы и методы оценки (ФСО V)»;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федеральный стандарт оценки «Отчет об оценке (ФСО VI)». </w:t>
      </w:r>
    </w:p>
    <w:p>
      <w:pPr>
        <w:autoSpaceDN w:val="0"/>
        <w:autoSpaceDE w:val="0"/>
        <w:widowControl/>
        <w:spacing w:line="320" w:lineRule="exact" w:before="116" w:after="86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Специальные стандарты оценки: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8.0" w:type="dxa"/>
      </w:tblPr>
      <w:tblGrid>
        <w:gridCol w:w="1268"/>
        <w:gridCol w:w="1268"/>
        <w:gridCol w:w="1268"/>
        <w:gridCol w:w="1268"/>
        <w:gridCol w:w="1268"/>
        <w:gridCol w:w="1268"/>
        <w:gridCol w:w="1268"/>
        <w:gridCol w:w="1268"/>
      </w:tblGrid>
      <w:tr>
        <w:trPr>
          <w:trHeight w:hRule="exact" w:val="36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3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стандарт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оценки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«Оценка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нематериальных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активов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</w:t>
            </w:r>
          </w:p>
        </w:tc>
      </w:tr>
    </w:tbl>
    <w:p>
      <w:pPr>
        <w:autoSpaceDN w:val="0"/>
        <w:autoSpaceDE w:val="0"/>
        <w:widowControl/>
        <w:spacing w:line="316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собственности» (ФСО № 11), утв. Приказом Минэкономразвития РФ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22.06.2015 г. № 385, </w:t>
      </w:r>
    </w:p>
    <w:p>
      <w:pPr>
        <w:autoSpaceDN w:val="0"/>
        <w:autoSpaceDE w:val="0"/>
        <w:widowControl/>
        <w:spacing w:line="322" w:lineRule="exact" w:before="11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Стандарты и правила оценочной деятельности саморегулирующей организации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оценщиков, членом которой является Оценщик: </w:t>
      </w:r>
    </w:p>
    <w:p>
      <w:pPr>
        <w:autoSpaceDN w:val="0"/>
        <w:tabs>
          <w:tab w:pos="1430" w:val="left"/>
        </w:tabs>
        <w:autoSpaceDE w:val="0"/>
        <w:widowControl/>
        <w:spacing w:line="330" w:lineRule="exact" w:before="8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стандарты и правила оценочной деятельности Ассоциации «Саморегулируемая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организация оценщиков «Экспертный совет» (Протокол № 36/2017 от 24.05.2017). </w:t>
      </w:r>
    </w:p>
    <w:p>
      <w:pPr>
        <w:autoSpaceDN w:val="0"/>
        <w:autoSpaceDE w:val="0"/>
        <w:widowControl/>
        <w:spacing w:line="197" w:lineRule="auto" w:before="88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2" w:lineRule="exact" w:before="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9. ОСНОВНЫЕ ПОНЯТИЯ И ТЕРМИНЫ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самом широком смысле НМА – это специфические активы, для которых характерны: отсутствие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осязаемой формы; долгосрочность использования; способность приносить доход. </w:t>
      </w:r>
    </w:p>
    <w:p>
      <w:pPr>
        <w:autoSpaceDN w:val="0"/>
        <w:autoSpaceDE w:val="0"/>
        <w:widowControl/>
        <w:spacing w:line="320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Отсутствие осязаемой формы – основная, но не единственная специфическая особенность НМА,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отличающая их от других долгосрочных активов. Другие специфические особенности характерны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только для отдельных видов НМА, но не для всех одновременно, т.е. их нельзя использовать как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характерные отличительные признаки. Более того, тремя позициями, отмеченными выше,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исчерпывается то общее, что можно сказать о НМА вообще, не делая специальных оговорок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относительно сферы применения или страны, о которой идет речь. </w:t>
      </w:r>
    </w:p>
    <w:p>
      <w:pPr>
        <w:autoSpaceDN w:val="0"/>
        <w:autoSpaceDE w:val="0"/>
        <w:widowControl/>
        <w:spacing w:line="274" w:lineRule="exact" w:before="2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 активы – это активы, которые не имеют материально-вещественной формы,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проявляют себя своими экономическими свойствами, дают выгоды их собственнику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(правообладателю) и генерируют для него доходы (выгоды), в том числе: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исключительные права на интеллектуальную собственность, а также иные права (право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следования, право доступа и другие), относящиеся к интеллектуальной деятельности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производственной, научной, литературной и художественной областях;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права, составляющие содержание договорных обязательств (договоров, соглашений);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деловая репутация. </w:t>
      </w:r>
    </w:p>
    <w:p>
      <w:pPr>
        <w:autoSpaceDN w:val="0"/>
        <w:autoSpaceDE w:val="0"/>
        <w:widowControl/>
        <w:spacing w:line="320" w:lineRule="exact" w:before="4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в частности, также относятся: </w:t>
      </w:r>
    </w:p>
    <w:p>
      <w:pPr>
        <w:autoSpaceDN w:val="0"/>
        <w:autoSpaceDE w:val="0"/>
        <w:widowControl/>
        <w:spacing w:line="334" w:lineRule="exact" w:before="1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исключительное право патентообладателя на изобретение, промышленный образец, полезную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модель;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исключительное право автора и иного правообладателя на использование программы для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ЭВМ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базы данных; </w:t>
      </w:r>
    </w:p>
    <w:p>
      <w:pPr>
        <w:autoSpaceDN w:val="0"/>
        <w:autoSpaceDE w:val="0"/>
        <w:widowControl/>
        <w:spacing w:line="336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3) исключительное право автора или иного правообладателя на использование топологии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интегральных микросхем;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исключительное право на товарный знак, знак обслуживания, наименование места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 и фирменное наименование;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исключительное право патентообладателя на селекционные достижения;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6) владение «ноу-хау», секретной формулой или процессом, информацией в отношении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промышленного, коммерческого или научного опыта;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7) лицензии на ведение определенного рода деятельности.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Бизнес образующая технология - Набор нематериальных активов, необходимых и достаточных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типичного участника рынка для организации производства продукции с заданными технико-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параметрами.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Интеллектуальные права-Исключительное право, являющееся имущественным правом, 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случаях, предусмотренных Гражданским кодексом РФ, — также личные (неимущественные)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и иные права (право следования, право доступа и другие.) </w:t>
      </w:r>
    </w:p>
    <w:p>
      <w:pPr>
        <w:autoSpaceDN w:val="0"/>
        <w:autoSpaceDE w:val="0"/>
        <w:widowControl/>
        <w:spacing w:line="197" w:lineRule="auto" w:before="4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право на объект интеллектуальной собственности-Имущественное право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интеллектуальной собственности, в соответствии с которым правообладатель вправе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использовать такой объект по своему усмотрению любым не противоречащим закону способом;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распоряжаться исключительным правом на объект, если Гражданским кодексом РФ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предусмотрено иное; может по своему усмотрению разрешать или запрещать другим лицам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объект интеллектуальной собственности. </w:t>
      </w:r>
    </w:p>
    <w:p>
      <w:pPr>
        <w:autoSpaceDN w:val="0"/>
        <w:autoSpaceDE w:val="0"/>
        <w:widowControl/>
        <w:spacing w:line="318" w:lineRule="exact" w:before="20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Интеллектуальная собственность (ИС)-Результаты интеллектуальной деятельности (РИД)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приравненные к ним средства индивидуализации юридических лиц, товаров, работ, услуг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 (СИ), которым предоставлена правовая охрана: 1) произведения науки, литературы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искусства; 2) программы для ЭВМ; 3) базы данных; 4) исполнения; 5) фонограммы; 6) сообщения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эфир или по кабелю радио- или телепередач (вещание организаций эфирного или кабельного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вещания); 7) изобретения; 8) полезные модели; 9) промышленные образцы; 10) селекционные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достижения; 11) топологии интегральных микросхем; 12) секреты производства (ноу-хау); 13)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фирменные наименования; 14) товарные знаки и знаки обслуживания; 15) наименования мест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происхождения товаров; 16) коммерческие обозначения. </w:t>
      </w:r>
    </w:p>
    <w:p>
      <w:pPr>
        <w:autoSpaceDN w:val="0"/>
        <w:autoSpaceDE w:val="0"/>
        <w:widowControl/>
        <w:spacing w:line="318" w:lineRule="exact" w:before="19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Уступка прав требования – это соглашение между юридическими лицами, при котором одна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них (первоначальный кредитор) уступает другой (новому кредитору) право требовать исполнения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договорных обязательств от третьей стороны.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Роялти - Вид лицензионного вознаграждения, периодическая компенсация, как правило, денежная,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использование патентов, авторских прав, франшиз, природных ресурсов и других видов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Периодические процентные отчисления (текущие отчисления) продавцу лицензии,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устанавливаемые в виде фиксированных ставок, исходя из фактического экономического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её использования. Может выплачиваться в виде процента от стоимости проданных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товаров и услуг, процента от прибыли или дохода. Также может быть в виде фиксированной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выплаты, в таком виде имеет некоторые сходства с арендной платой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Рыночная стоимость- Наиболее вероятная цена, по которой объект оценки может быть отчужден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дату оценки на открытом рынке в условиях конкуренции, когда стороны сделки действуют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разумно, располагая всей необходимой информацией, а на величине цены сделки не отражаются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какие-либо чрезвычайные обстоятельства, то есть когда: · одна из сторон сделки не обязана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отчуждать объект оценки, а другая сторона не обязана принимать исполнение; · стороны сделки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хорошо осведомлены о предмете сделки и действуют в своих интересах; · объект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 на открытом рынке посредством публичной оферты, типичной для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объектов оценки; · цена сделки представляет собой разумное вознаграждение за объект оценки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принуждения к совершению сделки в отношении сторон сделки с чьей-либо стороны не было; 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платеж за объект оценки выражен в денежной форме. </w:t>
      </w:r>
    </w:p>
    <w:p>
      <w:pPr>
        <w:autoSpaceDN w:val="0"/>
        <w:autoSpaceDE w:val="0"/>
        <w:widowControl/>
        <w:spacing w:line="316" w:lineRule="exact" w:before="204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Сопутствующие активы- Активы (материальные, финансовые, отдельно идентифицированные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нематериальные), используемые в сочетании с оцениваемым объектом ИС для выпуска товара /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выполнения работ / оказания услуг.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Глоссарий сокращений и аббревиатур: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 (Enterprise Value) – стоимость предприятия. </w:t>
      </w:r>
    </w:p>
    <w:p>
      <w:pPr>
        <w:autoSpaceDN w:val="0"/>
        <w:autoSpaceDE w:val="0"/>
        <w:widowControl/>
        <w:spacing w:line="197" w:lineRule="auto" w:before="1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PV (Present Value) – текущая (приведенная)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TV (Terminal Value) – рыночная стоимость в постпрогнозном периоде (реверсия).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BV (Book Value) – балансовая (книжная) стоимость.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MV (Market Value) – рыночная стоимость.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NPV (Net Present Value) – чистая приведенная стоимость. </w:t>
      </w:r>
    </w:p>
    <w:p>
      <w:pPr>
        <w:autoSpaceDN w:val="0"/>
        <w:autoSpaceDE w:val="0"/>
        <w:widowControl/>
        <w:spacing w:line="476" w:lineRule="exact" w:before="2" w:after="0"/>
        <w:ind w:left="0" w:right="273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EVA (Economic Value Added) – добавленная экономическая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ROA (Return on Assets) – доходность активов.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ROE (Return on Equity) – доходность собственного капитала.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IRR (Internal Rate of Return) – внутренняя норма доходности.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 (Growth Rate) – темпы прироста.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CAGR (Compound Annual Growth Rate) – среднегодовой рост (темп прироста) в сложных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процентах.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CF (Cash Flow) – денежный поток.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DCF (Discounted Cash Flow) – дисконтированный денежный поток.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FCFF (Free Cash Flow to Firm) – денежный поток для инвестированного капитала.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FCFE (Free Cash Flow to Equity) – денежный поток для собственного капитала.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EPS (Earnings per (for) Share) – прибыль на акцию.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 (Sales) – выручка.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 (Earnings Before Interest and Taxes) – прибыль до выплаты процентов по обязательствам и до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выплаты налогов.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EBITDA (Earnings Before Interest, Taxes, Depreciation and Amortization) – прибыль до выплаты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процентов по обязательствам, до выплаты налогов, амортизации и износа. </w:t>
      </w:r>
    </w:p>
    <w:p>
      <w:pPr>
        <w:autoSpaceDN w:val="0"/>
        <w:autoSpaceDE w:val="0"/>
        <w:widowControl/>
        <w:spacing w:line="316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OIBDA (Operating Income Before Depreciation аnd Amortization) – операционный доход до вычета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износа основных средств и амортизации нематериальных активов.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OI (Operating Income) – операционный доход.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SG&amp;A (Selling, General and Administrative Expenses) – общие, сбытовые и административные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(Earnings) – чистая прибыль. </w:t>
      </w:r>
    </w:p>
    <w:p>
      <w:pPr>
        <w:autoSpaceDN w:val="0"/>
        <w:autoSpaceDE w:val="0"/>
        <w:widowControl/>
        <w:spacing w:line="322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WC (Working Capital) – рабочий капитал.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 (Debt) – долг. </w:t>
      </w:r>
    </w:p>
    <w:p>
      <w:pPr>
        <w:autoSpaceDN w:val="0"/>
        <w:autoSpaceDE w:val="0"/>
        <w:widowControl/>
        <w:spacing w:line="197" w:lineRule="auto" w:before="31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14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 (Equity) – собственный (акционерный) капитал.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ND (Net Debt) – чистый долг.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 (Minority Interest) – доля меньшинства.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PP&amp;E (Property, Plant and Equipment) – земля, здания, сооружения и оборудование.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DIV (Dividends) – дивиденды.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CapEx (Capital Expenditure) – капитальные затраты (вложения).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 (Depreciation) – амортизационные отчисления.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NOPLAT (Net Operating Profit Less Adjusted Taxes) – чистая операционная прибыль за вычетом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налогов (после налоговая операционная прибыль).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ВВП – валовый внутренний продукт.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г/г – показатель в годовом исчислении, который отражает изменение по сравнению с аналогичным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месяцем (кварталом) предыдущего года.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долл. США – доллар США (официальная денежная валюта США).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ИПЦ – индекс потребительских цен.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кв. – квартал.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м/м – показатель в месячном исчислении, который отражает изменение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предыдущим отчетным месяцем.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НДС – налог на добавленную стоимость.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НЭИ – наиболее эффективное использование.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пг. – полугодие.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руб. – российский рубль (национальная валюта Российской Федерации). </w:t>
      </w:r>
    </w:p>
    <w:p>
      <w:pPr>
        <w:autoSpaceDN w:val="0"/>
        <w:autoSpaceDE w:val="0"/>
        <w:widowControl/>
        <w:spacing w:line="320" w:lineRule="exact" w:before="20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 – Российская Федерация.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 – саморегулируемая организация оценщиков.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ТЭО – технико-экономическое обоснование.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ФЗ – Федеральный закон.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ФОТ – фонд оплаты труда.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– федеральные стандарты оценки.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ФСС – фонд социального страхования. </w:t>
      </w:r>
    </w:p>
    <w:p>
      <w:pPr>
        <w:autoSpaceDN w:val="0"/>
        <w:autoSpaceDE w:val="0"/>
        <w:widowControl/>
        <w:spacing w:line="322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РФ – Центральный банк Российской Федерации. </w:t>
      </w:r>
    </w:p>
    <w:p>
      <w:pPr>
        <w:autoSpaceDN w:val="0"/>
        <w:autoSpaceDE w:val="0"/>
        <w:widowControl/>
        <w:spacing w:line="197" w:lineRule="auto" w:before="18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15 </w:t>
      </w:r>
    </w:p>
    <w:p>
      <w:pPr>
        <w:sectPr>
          <w:pgSz w:w="11906" w:h="16838"/>
          <w:pgMar w:top="338" w:right="632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88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10. ОПИСАНИЕ ОБЪЕКТА ОЦЕНКИ </w:t>
      </w:r>
    </w:p>
    <w:p>
      <w:pPr>
        <w:autoSpaceDN w:val="0"/>
        <w:autoSpaceDE w:val="0"/>
        <w:widowControl/>
        <w:spacing w:line="276" w:lineRule="exact" w:before="0" w:after="210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Таблица 10-1.Описание объекта оценки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5068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Исключительное (авторское и смежное) право на англоязычную версию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программного обеспечения «tNAVIGATOR», на английском, испанском и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китайском языках на территории всех стран мира за исключением России,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Белоруссии и Казахстана, в том числе на следующие модули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: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Model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Geology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Well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PVT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Network Designer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GUI (Graphical User Interface)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Black Oil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Compositional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Thermal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Multiple Realizations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Large Data Set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Simulation Results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Assisted History Matching and Uncertainty Analysis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Batch Jobs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Remote GUI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Manuals </w:t>
            </w:r>
          </w:p>
        </w:tc>
      </w:tr>
      <w:tr>
        <w:trPr>
          <w:trHeight w:hRule="exact" w:val="93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520"/>
              </w:trPr>
              <w:tc>
                <w:tcPr>
                  <w:tcW w:type="dxa" w:w="14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0" w:after="0"/>
                    <w:ind w:left="0" w:right="288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Основание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документа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0" w:lineRule="exact" w:before="6" w:after="0"/>
                    <w:ind w:left="0" w:right="1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выдачи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Свидетельство о государственной регистрации программы для ЭВМ «tNavigator» </w:t>
            </w:r>
          </w:p>
          <w:p>
            <w:pPr>
              <w:autoSpaceDN w:val="0"/>
              <w:tabs>
                <w:tab w:pos="1612" w:val="left"/>
                <w:tab w:pos="2690" w:val="left"/>
                <w:tab w:pos="4084" w:val="left"/>
                <w:tab w:pos="5086" w:val="left"/>
                <w:tab w:pos="5558" w:val="left"/>
              </w:tabs>
              <w:autoSpaceDE w:val="0"/>
              <w:widowControl/>
              <w:spacing w:line="222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№2013612152,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выданная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Федеральной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службой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интеллектуальной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собственности (Роспатент) от 15.02.2013 года по заявке №2012661563 от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24.12.2012 г. </w:t>
            </w:r>
          </w:p>
        </w:tc>
      </w:tr>
      <w:tr>
        <w:trPr>
          <w:trHeight w:hRule="exact" w:val="470"/>
        </w:trPr>
        <w:tc>
          <w:tcPr>
            <w:tcW w:type="dxa" w:w="26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2.00000000000003" w:type="dxa"/>
            </w:tblPr>
            <w:tblGrid>
              <w:gridCol w:w="1348"/>
              <w:gridCol w:w="1348"/>
            </w:tblGrid>
            <w:tr>
              <w:trPr>
                <w:trHeight w:hRule="exact" w:val="454"/>
              </w:trPr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6" w:lineRule="exact" w:before="0" w:after="0"/>
                    <w:ind w:left="60" w:right="144" w:firstLine="0"/>
                    <w:jc w:val="lef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Собственник </w:t>
                  </w: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оценки </w:t>
                  </w:r>
                </w:p>
              </w:tc>
              <w:tc>
                <w:tcPr>
                  <w:tcW w:type="dxa" w:w="1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" w:after="0"/>
                    <w:ind w:left="0" w:right="12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Общество с ограниченной ответственностью «Рок Флоу Динамикс»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Юридический адрес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117418, г Москва, ул. Профсоюзная, д. 25а, помещ. xvii, эт.2 </w:t>
            </w:r>
          </w:p>
        </w:tc>
      </w:tr>
      <w:tr>
        <w:trPr>
          <w:trHeight w:hRule="exact" w:val="240"/>
        </w:trPr>
        <w:tc>
          <w:tcPr>
            <w:tcW w:type="dxa" w:w="26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Генеральный директор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Шелков Василий Георгиевич, ИНН 501005092593, действует с 25.03.2005 </w:t>
            </w:r>
          </w:p>
        </w:tc>
      </w:tr>
      <w:tr>
        <w:trPr>
          <w:trHeight w:hRule="exact" w:val="470"/>
        </w:trPr>
        <w:tc>
          <w:tcPr>
            <w:tcW w:type="dxa" w:w="269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4" w:val="left"/>
                <w:tab w:pos="1972" w:val="left"/>
              </w:tabs>
              <w:autoSpaceDE w:val="0"/>
              <w:widowControl/>
              <w:spacing w:line="23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Общая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информация,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идентифицирующая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собственника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объекта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оценки </w:t>
            </w:r>
          </w:p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3.999999999999773" w:type="dxa"/>
            </w:tblPr>
            <w:tblGrid>
              <w:gridCol w:w="1228"/>
              <w:gridCol w:w="1228"/>
            </w:tblGrid>
            <w:tr>
              <w:trPr>
                <w:trHeight w:hRule="exact" w:val="446"/>
              </w:trPr>
              <w:tc>
                <w:tcPr>
                  <w:tcW w:type="dxa" w:w="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8" w:after="0"/>
                    <w:ind w:left="0" w:right="0" w:firstLine="0"/>
                    <w:jc w:val="center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23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608" w:val="left"/>
                    </w:tabs>
                    <w:autoSpaceDE w:val="0"/>
                    <w:widowControl/>
                    <w:spacing w:line="220" w:lineRule="exact" w:before="4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Учредители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объекта </w:t>
                  </w:r>
                </w:p>
                <w:p>
                  <w:pPr>
                    <w:autoSpaceDN w:val="0"/>
                    <w:autoSpaceDE w:val="0"/>
                    <w:widowControl/>
                    <w:spacing w:line="266" w:lineRule="exact" w:before="0" w:after="0"/>
                    <w:ind w:left="38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оценки на дату оценки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00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КАЛТЕКСО СИУАЙ ХОЛДИНГС ЛТД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Доля: 5 076 143 руб. (100%) c 31.10.2022 </w:t>
            </w:r>
          </w:p>
        </w:tc>
      </w:tr>
      <w:tr>
        <w:trPr>
          <w:trHeight w:hRule="exact" w:val="240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Статус </w:t>
            </w: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Действующее предприятие; </w:t>
            </w:r>
          </w:p>
        </w:tc>
      </w:tr>
      <w:tr>
        <w:trPr>
          <w:trHeight w:hRule="exact" w:val="702"/>
        </w:trPr>
        <w:tc>
          <w:tcPr>
            <w:tcW w:type="dxa" w:w="337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</w:tcPr>
          <w:p/>
        </w:tc>
        <w:tc>
          <w:tcPr>
            <w:tcW w:type="dxa" w:w="245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2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Среднесписочная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1228"/>
              <w:gridCol w:w="1228"/>
            </w:tblGrid>
            <w:tr>
              <w:trPr>
                <w:trHeight w:hRule="exact" w:val="448"/>
              </w:trPr>
              <w:tc>
                <w:tcPr>
                  <w:tcW w:type="dxa" w:w="1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4" w:lineRule="exact" w:before="0" w:after="0"/>
                    <w:ind w:left="0" w:right="432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численность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01.01.2022г. </w:t>
                  </w:r>
                </w:p>
              </w:tc>
              <w:tc>
                <w:tcPr>
                  <w:tcW w:type="dxa" w:w="7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22" w:lineRule="exact" w:before="4" w:after="0"/>
                    <w:ind w:left="0" w:right="12" w:firstLine="0"/>
                    <w:jc w:val="righ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на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199 чел. </w:t>
            </w:r>
          </w:p>
        </w:tc>
      </w:tr>
      <w:tr>
        <w:trPr>
          <w:trHeight w:hRule="exact" w:val="698"/>
        </w:trPr>
        <w:tc>
          <w:tcPr>
            <w:tcW w:type="dxa" w:w="26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Сведения об основном виде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экономической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деятельности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2000000000007276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0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62.01 Разработка компьютерного программного обеспечения </w:t>
            </w:r>
          </w:p>
        </w:tc>
      </w:tr>
      <w:tr>
        <w:trPr>
          <w:trHeight w:hRule="exact" w:val="3462"/>
        </w:trPr>
        <w:tc>
          <w:tcPr>
            <w:tcW w:type="dxa" w:w="269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00" w:val="left"/>
              </w:tabs>
              <w:autoSpaceDE w:val="0"/>
              <w:widowControl/>
              <w:spacing w:line="220" w:lineRule="exact" w:before="12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Дополнительные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виды </w:t>
            </w:r>
          </w:p>
          <w:p>
            <w:pPr>
              <w:autoSpaceDN w:val="0"/>
              <w:tabs>
                <w:tab w:pos="1788" w:val="left"/>
              </w:tabs>
              <w:autoSpaceDE w:val="0"/>
              <w:widowControl/>
              <w:spacing w:line="220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деятельности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согласно </w:t>
            </w:r>
          </w:p>
          <w:p>
            <w:pPr>
              <w:autoSpaceDN w:val="0"/>
              <w:autoSpaceDE w:val="0"/>
              <w:widowControl/>
              <w:spacing w:line="220" w:lineRule="exact" w:before="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выписке из ЕГРЮЛ на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дату составления отчета </w:t>
            </w:r>
          </w:p>
        </w:tc>
        <w:tc>
          <w:tcPr>
            <w:tcW w:type="dxa" w:w="723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26.20 производство компьютеров и периферийного оборудования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консультативная и работы в области компьютерных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технологий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62.09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деятельность, связанная с использованием вычислительной техники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технологий, прочая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деятельность по обработке данных, предоставление услуг по размещению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информации, деятельность порталов в информационно-коммуникационной сети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интернет </w:t>
            </w:r>
          </w:p>
          <w:p>
            <w:pPr>
              <w:autoSpaceDN w:val="0"/>
              <w:tabs>
                <w:tab w:pos="2178" w:val="left"/>
                <w:tab w:pos="2630" w:val="left"/>
                <w:tab w:pos="3696" w:val="left"/>
                <w:tab w:pos="4048" w:val="left"/>
                <w:tab w:pos="5612" w:val="left"/>
                <w:tab w:pos="6126" w:val="left"/>
                <w:tab w:pos="7008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63.11.1 деятельность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созданию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использованию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данных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 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информационных ресурсов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72.19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естественных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технических наук прочие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72.20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научные исследования и разработки в области общественных и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гуманитарных наук </w:t>
            </w:r>
          </w:p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ремонт компьютеров и коммуникационного оборудования </w:t>
            </w:r>
          </w:p>
        </w:tc>
      </w:tr>
    </w:tbl>
    <w:p>
      <w:pPr>
        <w:autoSpaceDN w:val="0"/>
        <w:autoSpaceDE w:val="0"/>
        <w:widowControl/>
        <w:spacing w:line="234" w:lineRule="exact" w:before="366" w:after="0"/>
        <w:ind w:left="4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Разработанные модули программы tNavigator являются ее неотъемлемой частью в связи с чем, по отдельности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рассчитываться не будут. </w:t>
      </w:r>
    </w:p>
    <w:p>
      <w:pPr>
        <w:autoSpaceDN w:val="0"/>
        <w:autoSpaceDE w:val="0"/>
        <w:widowControl/>
        <w:spacing w:line="197" w:lineRule="auto" w:before="3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16 </w:t>
      </w:r>
    </w:p>
    <w:p>
      <w:pPr>
        <w:sectPr>
          <w:pgSz w:w="11906" w:h="16838"/>
          <w:pgMar w:top="340" w:right="644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10-1. Информация по регистрации программы для ЭВМ «tNavigator» </w:t>
      </w:r>
    </w:p>
    <w:p>
      <w:pPr>
        <w:autoSpaceDN w:val="0"/>
        <w:autoSpaceDE w:val="0"/>
        <w:widowControl/>
        <w:spacing w:line="240" w:lineRule="auto" w:before="21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81040" cy="41706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170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14390" cy="3255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4390" cy="3255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8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18"/>
        </w:rPr>
        <w:t xml:space="preserve">Источник информации: https://www1.fips.ru/iiss/document.xhtml?faces-redirect=true&amp;id=ea130520bbca5ccdb2922e065b096137 </w:t>
      </w:r>
    </w:p>
    <w:p>
      <w:pPr>
        <w:autoSpaceDN w:val="0"/>
        <w:autoSpaceDE w:val="0"/>
        <w:widowControl/>
        <w:spacing w:line="197" w:lineRule="auto" w:before="13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17 </w:t>
      </w:r>
    </w:p>
    <w:p>
      <w:pPr>
        <w:sectPr>
          <w:pgSz w:w="11906" w:h="16838"/>
          <w:pgMar w:top="338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32" w:lineRule="exact" w:before="0" w:after="0"/>
        <w:ind w:left="0" w:right="236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10.1. Перечень использованных документов</w:t>
      </w:r>
    </w:p>
    <w:p>
      <w:pPr>
        <w:autoSpaceDN w:val="0"/>
        <w:autoSpaceDE w:val="0"/>
        <w:widowControl/>
        <w:spacing w:line="266" w:lineRule="exact" w:before="1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приведен перечень документов, используемых оценщиком 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устанавливающих количественные и качественные характеристики объекта оценки, а также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иных информационных источников: </w:t>
      </w:r>
    </w:p>
    <w:p>
      <w:pPr>
        <w:autoSpaceDN w:val="0"/>
        <w:tabs>
          <w:tab w:pos="1562" w:val="left"/>
          <w:tab w:pos="1702" w:val="left"/>
        </w:tabs>
        <w:autoSpaceDE w:val="0"/>
        <w:widowControl/>
        <w:spacing w:line="332" w:lineRule="exact" w:before="96" w:after="8"/>
        <w:ind w:left="1134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Устав ООО «Рок Флоу Динамикс»;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Свидетельство о государственной регистрации программы для ЭВМ №2013612152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«tNavigator»;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2018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9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auto" w:before="18" w:after="0"/>
              <w:ind w:left="576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16" w:lineRule="exact" w:before="1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«РфД» за 2019 год; </w:t>
            </w:r>
          </w:p>
          <w:p>
            <w:pPr>
              <w:autoSpaceDN w:val="0"/>
              <w:autoSpaceDE w:val="0"/>
              <w:widowControl/>
              <w:spacing w:line="266" w:lineRule="exact" w:before="52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Аудиторское заключение независимого аудитора о бухгалтерской отчетности ООО </w:t>
            </w:r>
          </w:p>
        </w:tc>
      </w:tr>
    </w:tbl>
    <w:p>
      <w:pPr>
        <w:autoSpaceDN w:val="0"/>
        <w:tabs>
          <w:tab w:pos="1562" w:val="left"/>
          <w:tab w:pos="1702" w:val="left"/>
        </w:tabs>
        <w:autoSpaceDE w:val="0"/>
        <w:widowControl/>
        <w:spacing w:line="324" w:lineRule="exact" w:before="2" w:after="8"/>
        <w:ind w:left="1134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2020 год;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Аудиторское заключение независимого аудитора о бухгалтерской отчетности ООО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«РфД» за 2021 год;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8.0" w:type="dxa"/>
      </w:tblPr>
      <w:tblGrid>
        <w:gridCol w:w="5073"/>
        <w:gridCol w:w="5073"/>
      </w:tblGrid>
      <w:tr>
        <w:trPr>
          <w:trHeight w:hRule="exact" w:val="366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" w:after="0"/>
              <w:ind w:left="0" w:right="144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  <w:p>
            <w:pPr>
              <w:autoSpaceDN w:val="0"/>
              <w:autoSpaceDE w:val="0"/>
              <w:widowControl/>
              <w:spacing w:line="269" w:lineRule="auto" w:before="358" w:after="0"/>
              <w:ind w:left="586" w:right="144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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</w:tabs>
              <w:autoSpaceDE w:val="0"/>
              <w:widowControl/>
              <w:spacing w:line="332" w:lineRule="exact" w:before="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за 2005-2021 года, за 9 месяцев 2022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Оборотно-сальдовая ведомость ООО «РфД» по счету 70 за 2006-2013 года;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8 от 24.12.2012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9 от 30.12.2013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21.01.2015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11 от 11.01.2016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09.01.2017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01.01.2018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09.01.2019 года;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Штатное расписание ООО «РфД» № 1 от 09.01.2020 года; </w:t>
            </w:r>
          </w:p>
        </w:tc>
      </w:tr>
    </w:tbl>
    <w:p>
      <w:pPr>
        <w:autoSpaceDN w:val="0"/>
        <w:autoSpaceDE w:val="0"/>
        <w:widowControl/>
        <w:spacing w:line="332" w:lineRule="exact" w:before="0" w:after="0"/>
        <w:ind w:left="1136" w:right="1152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Штатное расписание ООО «РфД» № 16 от 11.01.2021 года;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Расшифровка выручки по клиентской базе за ретроспективный период. </w:t>
      </w:r>
    </w:p>
    <w:p>
      <w:pPr>
        <w:autoSpaceDN w:val="0"/>
        <w:tabs>
          <w:tab w:pos="1070" w:val="left"/>
          <w:tab w:pos="1430" w:val="left"/>
        </w:tabs>
        <w:autoSpaceDE w:val="0"/>
        <w:widowControl/>
        <w:spacing w:line="326" w:lineRule="exact" w:before="0" w:after="0"/>
        <w:ind w:left="710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Перечень источников, используемых Оценщиком для проведения оценки: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https://zachestnyibiznes.ru/company/ul/1047702050483_7702364555_OOO-RFD;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tab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https://www1.fips.ru/iiss/document.xhtml?faces-</w:t>
          </w:r>
        </w:hyperlink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redirect=true&amp;id=ea130520bbca5ccdb2922e065b096137. </w:t>
      </w:r>
    </w:p>
    <w:p>
      <w:pPr>
        <w:autoSpaceDN w:val="0"/>
        <w:autoSpaceDE w:val="0"/>
        <w:widowControl/>
        <w:spacing w:line="332" w:lineRule="exact" w:before="9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Профессиональное суждение Оценщика относительно качества использованной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проведении оценки информации (п. 10 ФСО III): использованная при проведении оценки </w:t>
      </w:r>
    </w:p>
    <w:p>
      <w:pPr>
        <w:autoSpaceDN w:val="0"/>
        <w:autoSpaceDE w:val="0"/>
        <w:widowControl/>
        <w:spacing w:line="266" w:lineRule="exact" w:before="38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удовлетворяет требованиям достоверности, надежности, существенности 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3"/>
        <w:gridCol w:w="5073"/>
      </w:tblGrid>
      <w:tr>
        <w:trPr>
          <w:trHeight w:hRule="exact" w:val="772"/>
        </w:trPr>
        <w:tc>
          <w:tcPr>
            <w:tcW w:type="dxa" w:w="17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достаточности. </w:t>
            </w:r>
          </w:p>
        </w:tc>
        <w:tc>
          <w:tcPr>
            <w:tcW w:type="dxa" w:w="7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0" w:lineRule="exact" w:before="322" w:after="0"/>
              <w:ind w:left="15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 xml:space="preserve">11. ДОПУЩЕНИЯ И ОГРАНИЧЕНИЯ ОЦЕНКИ </w:t>
            </w:r>
          </w:p>
        </w:tc>
      </w:tr>
    </w:tbl>
    <w:p>
      <w:pPr>
        <w:autoSpaceDN w:val="0"/>
        <w:tabs>
          <w:tab w:pos="284" w:val="left"/>
          <w:tab w:pos="3372" w:val="left"/>
        </w:tabs>
        <w:autoSpaceDE w:val="0"/>
        <w:widowControl/>
        <w:spacing w:line="284" w:lineRule="exact" w:before="174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11.1. Специальные допущения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процессе подготовки Отчета Оценщик исходил из достоверности всей документации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оценки, предоставленной в его распоряжение Заказчиком, поскольку в обязанности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Оценщика, в соответствии с договором об оценке, не входит проведение экспертизы </w:t>
      </w:r>
    </w:p>
    <w:p>
      <w:pPr>
        <w:autoSpaceDN w:val="0"/>
        <w:autoSpaceDE w:val="0"/>
        <w:widowControl/>
        <w:spacing w:line="197" w:lineRule="auto" w:before="3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2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правоустанавливающих документов на объект оценки на предмет их подлинности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соответствия действующему законодательству. </w:t>
      </w:r>
    </w:p>
    <w:p>
      <w:pPr>
        <w:autoSpaceDN w:val="0"/>
        <w:tabs>
          <w:tab w:pos="284" w:val="left"/>
        </w:tabs>
        <w:autoSpaceDE w:val="0"/>
        <w:widowControl/>
        <w:spacing w:line="258" w:lineRule="exact" w:before="62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Оцениваемые права рассматриваются свободными от каких-либо претензий или ограничений,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ограничений, оговоренных в Отчете. </w:t>
      </w:r>
    </w:p>
    <w:p>
      <w:pPr>
        <w:autoSpaceDN w:val="0"/>
        <w:autoSpaceDE w:val="0"/>
        <w:widowControl/>
        <w:spacing w:line="282" w:lineRule="exact" w:before="14" w:after="0"/>
        <w:ind w:left="284" w:right="28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проводит аудиторскую и иную проверку документации и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представленную Заказчиком для проведения оценки, а исходит из того, что предоставленная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является точной и правдивой. </w:t>
      </w:r>
    </w:p>
    <w:p>
      <w:pPr>
        <w:autoSpaceDN w:val="0"/>
        <w:autoSpaceDE w:val="0"/>
        <w:widowControl/>
        <w:spacing w:line="276" w:lineRule="exact" w:before="18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исходит из того, что на объект оценки имеются все подлежащие оценке права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соответствии с действующим законодательством. Однако анализ правоустанавливающих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документов и имущественных прав на объект оценки выходит за пределы профессиональной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компетенции Оценщика, и он не несет ответственности за связанные с этим вопросы. Оценщик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исходит из того, что объект оценки находится в полном праве собственности, и данное право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достоверным и достаточным для рыночного оборота. </w:t>
      </w:r>
    </w:p>
    <w:p>
      <w:pPr>
        <w:autoSpaceDN w:val="0"/>
        <w:autoSpaceDE w:val="0"/>
        <w:widowControl/>
        <w:spacing w:line="282" w:lineRule="exact" w:before="1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несет ответственности за его скрытые недостатки и дефекты, которые невозможно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обнаружить путем изучения предоставленных планов и иных документов, ввиду специфики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 проведение осмотра не требуется.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Приведенные в Отчете факты, на основе которых проводился анализ, делались предположения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выводы, были выбраны оценщиком с наибольшей степенью использования его знаний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умений, и являются, на его взгляд, достоверными и не содержащими фактических ошибок; </w:t>
      </w:r>
    </w:p>
    <w:p>
      <w:pPr>
        <w:autoSpaceDN w:val="0"/>
        <w:tabs>
          <w:tab w:pos="284" w:val="left"/>
          <w:tab w:pos="1552" w:val="left"/>
        </w:tabs>
        <w:autoSpaceDE w:val="0"/>
        <w:widowControl/>
        <w:spacing w:line="288" w:lineRule="exact" w:before="526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11.2. Существенные допущения, не являющиеся специальными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Оценщик, выполнивший оценку объекта оценки и подготовивший данный Отчёт,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полномочным представителем Оценочной организации, имеет необходимое профессиональное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образование и достаточный практический опыт в области оценки. </w:t>
      </w:r>
    </w:p>
    <w:p>
      <w:pPr>
        <w:autoSpaceDN w:val="0"/>
        <w:autoSpaceDE w:val="0"/>
        <w:widowControl/>
        <w:spacing w:line="276" w:lineRule="exact" w:before="44" w:after="0"/>
        <w:ind w:left="284" w:right="22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оценки предполагалось отсутствие каких-либо скрытых внешних и внутренних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факторов, влияющих на стоимость объекта оценки. На Оценщике не лежит ответственность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обнаружению подобных факторов, либо в случае их последующего обнаружения.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Оценщик, ни любой иной пользователь Отчёта не могут использовать Отчет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иначе, чем это предусмотрено договором об оценке. </w:t>
      </w:r>
    </w:p>
    <w:p>
      <w:pPr>
        <w:autoSpaceDN w:val="0"/>
        <w:autoSpaceDE w:val="0"/>
        <w:widowControl/>
        <w:spacing w:line="282" w:lineRule="exact" w:before="12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содержит профессиональное мнение Оценщика относительно стоимости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не является гарантией того, что оно перейдет из рук в руки по цене, равной указанной в Отчете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Оценщика относительно величины стоимости действительно только на дату оценки. </w:t>
      </w:r>
    </w:p>
    <w:p>
      <w:pPr>
        <w:autoSpaceDN w:val="0"/>
        <w:autoSpaceDE w:val="0"/>
        <w:widowControl/>
        <w:spacing w:line="280" w:lineRule="exact" w:before="0" w:after="0"/>
        <w:ind w:left="284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не принимает на себя ответственность за последующие изменения социальных,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экономических, юридических и природных условий, которые могут повлиять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п.2 ФСО №V «Подходы к оценке» в процессе оценки оценщик рассматривает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применения всех подходов к оценке, в том числе для подтверждения выводов,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полученных при применении других подходов. При выборе подходов и методов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оценщику необходимо учитывать специфику объекта оценки, цели оценки, вид стоимости,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достаточность и достоверность исходной информации, допущения и ограничения оценки. 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из подходов и методов оценки не является универсальным, применимым во всех случаях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В то же время оценщик может использовать один подход и метод оценки, если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применение данного подхода и метода оценки приводит к наиболее достоверному результату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с учетом доступной информации, допущений и ограничений проводимой оценки.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имеет право для проведения оценки использовать информацию из общедоступных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 массовой информации и других источников по своему усмотрению. Оценщик исходит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того, что информация, полученная им, взята из источников, заслуживающих доверия, и </w:t>
      </w:r>
    </w:p>
    <w:p>
      <w:pPr>
        <w:autoSpaceDN w:val="0"/>
        <w:autoSpaceDE w:val="0"/>
        <w:widowControl/>
        <w:spacing w:line="197" w:lineRule="auto" w:before="5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считается достоверной. Тем не менее, Оценщик не может гарантировать их абсолютную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точность и во всех возможных случаях указывает источник информации. </w:t>
      </w:r>
    </w:p>
    <w:p>
      <w:pPr>
        <w:autoSpaceDN w:val="0"/>
        <w:autoSpaceDE w:val="0"/>
        <w:widowControl/>
        <w:spacing w:line="280" w:lineRule="exact" w:before="14" w:after="0"/>
        <w:ind w:left="284" w:right="24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Заказчик, ни Оценщик не могут использовать Отчет иначе, чем это предусмотрено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договором на оценку. Разглашение содержания настоящего Отчета как в целом, так 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фрагментам возможно только после предварительного письменного согласования. Особенно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касается итоговой величины стоимости и авторства Отчета.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 достоверен лишь в полном объеме и лишь для указанных в нем целей.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Отчета для других целей может привести к неверным выводам. </w:t>
      </w:r>
    </w:p>
    <w:p>
      <w:pPr>
        <w:autoSpaceDN w:val="0"/>
        <w:autoSpaceDE w:val="0"/>
        <w:widowControl/>
        <w:spacing w:line="278" w:lineRule="exact" w:before="16" w:after="0"/>
        <w:ind w:left="284" w:right="26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 принимает на себя обязательство заранее освободить Оценщика от всякого рода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расходов и материальной ответственности, происходящих из иска третьих лиц к Оценщику,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вследствие легального использования результатов настоящего Отчета, кроме случаев, когда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установленном судебном порядке определено, что возникшие убытки явились следствием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мошенничества, халатности или умышленно неправомочных действий со стороны Оценщика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процессе выполнения работ по определению стоимости объекта оценки.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Оценщика не требуется явка в суде или ином государственном органе для дачи пояснений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проведенной им оценке. </w:t>
      </w:r>
    </w:p>
    <w:p>
      <w:pPr>
        <w:autoSpaceDN w:val="0"/>
        <w:autoSpaceDE w:val="0"/>
        <w:widowControl/>
        <w:spacing w:line="276" w:lineRule="exact" w:before="44" w:after="0"/>
        <w:ind w:left="284" w:right="20" w:hanging="284"/>
        <w:jc w:val="both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ст.12 №135-ФЗ от 29 июля 1998 г., рыночная стоимость, определенная в Отчете,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рекомендуемой для целей совершения сделки в течение шести месяцев с даты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составления Отчета, за исключением случаев, предусмотренных законодательством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Федерации. </w:t>
      </w:r>
    </w:p>
    <w:p>
      <w:pPr>
        <w:autoSpaceDN w:val="0"/>
        <w:tabs>
          <w:tab w:pos="284" w:val="left"/>
        </w:tabs>
        <w:autoSpaceDE w:val="0"/>
        <w:widowControl/>
        <w:spacing w:line="288" w:lineRule="exact" w:before="6" w:after="0"/>
        <w:ind w:left="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 одно лицо, кроме лиц, подписавших Отчет, не оказывали профессионального содействия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оценке. </w:t>
      </w:r>
    </w:p>
    <w:p>
      <w:pPr>
        <w:autoSpaceDN w:val="0"/>
        <w:autoSpaceDE w:val="0"/>
        <w:widowControl/>
        <w:spacing w:line="332" w:lineRule="exact" w:before="16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11.3. Прочие допущения </w:t>
      </w:r>
    </w:p>
    <w:p>
      <w:pPr>
        <w:autoSpaceDN w:val="0"/>
        <w:tabs>
          <w:tab w:pos="710" w:val="left"/>
        </w:tabs>
        <w:autoSpaceDE w:val="0"/>
        <w:widowControl/>
        <w:spacing w:line="322" w:lineRule="exact" w:before="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настоящем разделе описаны допущения, принятые Оценщиком при проведении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допущения не являются специальными (п. 5 ФСО III), не являются существенными (п. 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ФСО III) и могут быть введены Оценщиком самостоятельно без согласования с заказчиком.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Дополнительные допущения Оценщиком не вводились. </w:t>
      </w:r>
    </w:p>
    <w:p>
      <w:pPr>
        <w:autoSpaceDN w:val="0"/>
        <w:autoSpaceDE w:val="0"/>
        <w:widowControl/>
        <w:spacing w:line="388" w:lineRule="exact" w:before="47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12. АНАЛИЗ РЫНКА </w:t>
      </w:r>
    </w:p>
    <w:p>
      <w:pPr>
        <w:autoSpaceDN w:val="0"/>
        <w:autoSpaceDE w:val="0"/>
        <w:widowControl/>
        <w:spacing w:line="332" w:lineRule="exact" w:before="19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12.1.  АНАЛИЗ ПОЛОЖЕНИЯ РОССИЙСКОЙ ФЕДЕРАЦИИ В МИРЕ. </w:t>
      </w:r>
    </w:p>
    <w:p>
      <w:pPr>
        <w:autoSpaceDN w:val="0"/>
        <w:tabs>
          <w:tab w:pos="284" w:val="left"/>
          <w:tab w:pos="1376" w:val="left"/>
          <w:tab w:pos="1878" w:val="left"/>
          <w:tab w:pos="3452" w:val="left"/>
          <w:tab w:pos="4954" w:val="left"/>
          <w:tab w:pos="5366" w:val="left"/>
          <w:tab w:pos="6028" w:val="left"/>
          <w:tab w:pos="7056" w:val="left"/>
          <w:tab w:pos="8618" w:val="left"/>
        </w:tabs>
        <w:autoSpaceDE w:val="0"/>
        <w:widowControl/>
        <w:spacing w:line="276" w:lineRule="exact" w:before="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 всё время изменяется: одни страны конфликтуют и разделяются, другие сотрудничают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объединяются, экономика одних развивается, других – падает, меняются мировые ресурсные,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торговые и финансовые потоки, меняется уровень жизни и благосостояние народов разных стран.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Сегодня страны Европы, где ранее размещались центры самых могущественных империй 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течение нескольких столетий наблюдался расцвет всех сфер жизни, испытывают ресурсный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дефицит и рецессии экономик, а страны Азии, Африки, Латинской Америки, ранее колониально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европейских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метрополий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где,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практически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отсутствовала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развиваются, повышая уровень жизни своего населения. В мире обостряется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конкуренция за энергетические и сырьевые ресурсы, за интеллектуальный потенциал и передовые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технологии, за экологически чистую среду проживания и чистые продукты питания. Всё это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происходит на фоне кризиса Бреттон-Вудской системы мировых денежных отношений,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основанной на эмиссии доллара США, ставшей главной опорой неоколониальной экспансии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гегемонии США и других стран Запада, но необеспеченной реальным экономическим ростом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стран. Финансовое доминирование Запада сопровождается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3" w:history="1">
          <w:r>
            <w:rPr>
              <w:rStyle w:val="Hyperlink"/>
            </w:rPr>
            <w:t>полным военных контролем (около 800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военных баз НАТО в 177 странах мира) и регулярными актами агрессии в отношении стран,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заявивших о своей самостоятельности и независимости. В минувшее и начинающееся столетие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 организованы и финансированы все войны и «цветные революции», свержение </w:t>
      </w:r>
    </w:p>
    <w:p>
      <w:pPr>
        <w:autoSpaceDN w:val="0"/>
        <w:autoSpaceDE w:val="0"/>
        <w:widowControl/>
        <w:spacing w:line="197" w:lineRule="auto" w:before="1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20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национальных правительств и массовые беспорядки во всех частях мира: Первая и Вторая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мировые войны, в Корее и Вьетнаме, в Чехословакии и Югославии, в Тунисе и Ливии, в Ираке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Сирии, в Венесуэле, Белорусии и Казахстане, а также другие военные конфликты с целью захвата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контроля ресурсов. </w:t>
      </w:r>
    </w:p>
    <w:p>
      <w:pPr>
        <w:autoSpaceDN w:val="0"/>
        <w:tabs>
          <w:tab w:pos="284" w:val="left"/>
          <w:tab w:pos="1976" w:val="left"/>
          <w:tab w:pos="3140" w:val="left"/>
          <w:tab w:pos="4716" w:val="left"/>
          <w:tab w:pos="6090" w:val="left"/>
          <w:tab w:pos="7282" w:val="left"/>
          <w:tab w:pos="8792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же целях осуществляется военное давление и сдерживание экономического развития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 (а прежде - СССР), как главного геополитического и военного конкурента. Запад окружил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российские границы военными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(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FF"/>
          <w:sz w:val="24"/>
          <w:u w:val="single"/>
        </w:rPr>
        <w:hyperlink r:id="rId14" w:history="1">
          <w:r>
            <w:rPr>
              <w:rStyle w:val="Hyperlink"/>
            </w:rPr>
            <w:t>более 400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)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вводит против России всё новые и новые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экономические, финансовые и политические санкции и, используя полную зависимость всего мира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 доллара, бесцеремонно нарушая международные торгово-экономические соглашения и частное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заставляет другие страны следовать этим санкциям. Эти действия направлены на полную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экономическую и политическую блокаду России, дестабилизацию экономики, финансовой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политической системы с целью уничтожения или ослабления государства и взятия под полный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контроль территории и ресурсов. Разжигание национальной розни в Казахстане, Киргизии,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Азербайджане, Армении, прибалтийских странах, нацистский переворот на Украине и снабжение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неонацистского режима оружием и наемниками подтверждают агрессивный характер глобального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капитала и показывают, что Запад постоянно нуждается в дестабилизации и разжигает войны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разрешения своих экономических проблем (ограниченность природных ресурсов,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ограниченность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рынков,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стагфляция,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огромный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госдолг,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отраслевые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дисбалансы,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необеспеченность доллара) и внутриполитических кризисов и социальных конфликтов.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США, в нарушение основополагающих норм международного права, фактически украли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размещенные за рубежом российские валютные резервы в сумме около 300 млрд. долл.,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отключили крупнейшие российские банки от международной системы SWIFT, блокируют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российскую внешнюю торговлю, арестовывают собственность, закрыли небо для российских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авиакомпаний, обязали международные компании покинуть российский рынок. В этой же цепи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событий – повреждение морских участков газопроводов Северный поток 1 и 2, поставляющих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российский газ в Западную Европу. Такие действия окончательно подрывают отношения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Западом, компрометируют доллар и евро, как валюты международных сделок и накопления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резервов, подрывают доверие к США, ранее претендовавших на международное лидерство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справедливую экономическую конкуренцию.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Россия занимает центральное место на крупнейшем материке Земли и обладает самой большой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территорией с транспортными выходами в любую страну мира и самыми крупными запасами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ключевых природных и энергетических ресурсов. Наша страна лидирует среди всех стран мира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площади лесов, чернозёмов и запасам пресной воды, по количеству запасов природного газа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древесины, занимает второе место в мире по запасам угля, третье - по месторождениям золота,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первое – по добыче палладия, третье - по добыче никеля, первое - по производству неона, второе 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редкоземельным минералам и другим ресурсам, являющимся основой развития самых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передовых современных технологий. Российская Федерация унаследовала от СССР вторую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мощности в мире после США энергетическую систему (электростанции, месторождения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нефтегазового сектора, геологоразведка и наука, магистральные, распределительные сети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трубопроводы), имеет тяжёлую и машиностроительную индустрию, передовую оборонную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промышленность, сильнейший научно-исследовательский потенциал, одну из самых лучших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высшую школу, всеобщее универсальное среднее и профессиональное образование, системное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здравоохранение и социальное обеспечение граждан. Россия является одним из пяти постоянных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членов Совета безопасности ООН и, имея мощнейший военный потенциал, играет ведущую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геополитическую роль в мире. </w:t>
      </w:r>
    </w:p>
    <w:p>
      <w:pPr>
        <w:autoSpaceDN w:val="0"/>
        <w:autoSpaceDE w:val="0"/>
        <w:widowControl/>
        <w:spacing w:line="274" w:lineRule="exact" w:before="0" w:after="0"/>
        <w:ind w:left="0" w:right="24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Наша страна интегрирована в мировую экономику. Построены и работают трансграничные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газо- и нефтепроводы: в Западную Европу, Юго-Восточную Азию и на Дальний Восток.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Например, в 2021 году страны Европейского Союза получали от России 27% всей покупаемой 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нефти, 45% газа и 46% угля. Россия – крупнейший в мире поставщик черных и цветных металлов,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удобрений, зерна, подсолнечного масла, урана, вооружений и военной техники. Это помогает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развивать национальную экономику, исполнять социальные обязательства и федеральные </w:t>
      </w:r>
    </w:p>
    <w:p>
      <w:pPr>
        <w:autoSpaceDN w:val="0"/>
        <w:autoSpaceDE w:val="0"/>
        <w:widowControl/>
        <w:spacing w:line="197" w:lineRule="auto" w:before="16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21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программы развития, накапливать золотовалютные резервы. Однако, эта же интегрированность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мировую экономику и высокая зависимость госбюджета от импорта создали в условиях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санкций и критически высокие риски для отечественной экономики, для дальнейшего социального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страны. В 2012 году, предвидя, что мир идет к расколу, в стране была принята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>госпрограмма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>развития сельского хозяйства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а в 2015-м создана Правительственная комиссия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по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импорт замещению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276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Агрессивное наступление Запада по всему миру (военное, в политике и экономике) и ответные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защитные меры России на фоне структурного, сырьевого и энергетического кризисов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капиталистической системы, на фоне высокого уровня технологического и информационного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развития мирового сообщества, на фоне неравномерного развития национальных государств ведут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изменениям сложившихся международных отношений, к изменению однополярного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мироустройства. Мир окончательно сползает к длительному глобальному противостоянию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крупнейшими мировыми центрами и разделяется на новые зоны влияния: Индия, Китай, Россия,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США. При этом, хотя ещё не дошло до открытой войны между этими центрами, перспективы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разрешения этого противостояния в ближайшие годы не просматриваются. Пока какие-то стороны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потерпят поражение, пока не установятся новые принципы и правила международных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взаимоотношений, валютные и торговые нормы, пока не стабилизируются экономики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центральных полюсов, мир и многие регионы будут испытывать большие политические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изменения. </w:t>
      </w:r>
    </w:p>
    <w:p>
      <w:pPr>
        <w:autoSpaceDN w:val="0"/>
        <w:tabs>
          <w:tab w:pos="356" w:val="left"/>
          <w:tab w:pos="1834" w:val="left"/>
          <w:tab w:pos="4136" w:val="left"/>
          <w:tab w:pos="6672" w:val="left"/>
          <w:tab w:pos="7828" w:val="left"/>
          <w:tab w:pos="9006" w:val="left"/>
        </w:tabs>
        <w:autoSpaceDE w:val="0"/>
        <w:widowControl/>
        <w:spacing w:line="280" w:lineRule="exact" w:before="0" w:after="0"/>
        <w:ind w:left="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Учитывая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гарантированную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обороноспособность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России,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полную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кадровую,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энергетическую и ресурсную обеспеченность, учитывая высокую сплоченность российского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общества, считаем, что наша страна находится в лучшем положении по сравнению с другими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центрами влияния и останется политически и экономически стабильной, и самой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перспективной. </w:t>
      </w:r>
    </w:p>
    <w:p>
      <w:pPr>
        <w:autoSpaceDN w:val="0"/>
        <w:tabs>
          <w:tab w:pos="124" w:val="left"/>
        </w:tabs>
        <w:autoSpaceDE w:val="0"/>
        <w:widowControl/>
        <w:spacing w:line="220" w:lineRule="exact" w:before="56" w:after="224"/>
        <w:ind w:left="72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12-1 Основные экономические показатели России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(по данным Росстата (вторая оценка):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https://rosstat.gov.ru/storage/mediabank/osn-10-2022.pdf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 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зеленый – положительные показатели или динамика, красный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 xml:space="preserve">-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hyperlink r:id="rId17" w:history="1">
          <w:r>
            <w:rPr>
              <w:rStyle w:val="Hyperlink"/>
            </w:rPr>
            <w:t>о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трицательные показатели или динамика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47"/>
        <w:gridCol w:w="2047"/>
        <w:gridCol w:w="2047"/>
        <w:gridCol w:w="2047"/>
        <w:gridCol w:w="2047"/>
      </w:tblGrid>
      <w:tr>
        <w:trPr>
          <w:trHeight w:hRule="exact" w:val="254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№ </w:t>
            </w:r>
          </w:p>
        </w:tc>
        <w:tc>
          <w:tcPr>
            <w:tcW w:type="dxa" w:w="5810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552"/>
            <w:gridSpan w:val="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2021г.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мес. 2022г. </w:t>
            </w:r>
          </w:p>
        </w:tc>
      </w:tr>
      <w:tr>
        <w:trPr>
          <w:trHeight w:hRule="exact" w:val="240"/>
        </w:trPr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047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млрд.руб.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Валовой внутренний продукт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131015,0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+4,7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-1,7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Инвестиции в основной капитал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22945,4 </w:t>
            </w:r>
          </w:p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+7,7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+5,9</w:t>
            </w:r>
          </w:p>
        </w:tc>
      </w:tr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581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9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Реальные располагаемые денежные доходы населения (за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вычетом выплат по кредитам и страховых) </w:t>
            </w:r>
          </w:p>
        </w:tc>
        <w:tc>
          <w:tcPr>
            <w:tcW w:type="dxa" w:w="1274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 +3,1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-1,7</w:t>
            </w:r>
          </w:p>
        </w:tc>
      </w:tr>
    </w:tbl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62"/>
        </w:trPr>
        <w:tc>
          <w:tcPr>
            <w:tcW w:type="dxa" w:w="4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084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2021г.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>Янв-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  <w:u w:val="single"/>
              </w:rPr>
              <w:t>окт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  <w:u w:val="single"/>
              </w:rPr>
              <w:t xml:space="preserve"> 2022г.</w:t>
            </w:r>
          </w:p>
        </w:tc>
      </w:tr>
      <w:tr>
        <w:trPr>
          <w:trHeight w:hRule="exact" w:val="240"/>
        </w:trPr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558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+/- % г/г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+/- % г/г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Промышленное производство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933"/>
                <w:sz w:val="20"/>
              </w:rPr>
              <w:t xml:space="preserve">+0,1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Продукция сельского хозяйства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+1,9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+5,0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Строительство (объем СМР в сопоставимых ценах)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+6,0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+5,8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Введено в эксплуатацию общей площади зданий, млн. кв.м.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+12,7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+21,5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- нежилых помещений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+10,5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-3,5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Пассажирооборот транспорта общего пользования, млрд пасс-км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+39,6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+0,9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Грузооборот транспорта, млрд т-км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+5,3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-2,1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в том числе, железнодорожного транспорта (около 50%)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+3,4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0,0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Трубопроводного (около 43%)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+7,4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-4,3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          Автомобильного (около 6%)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+5,0 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+1,9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розничной торговли, млрд рублей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+7,3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-5,9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Объем платных услуг населению,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+14,1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+3,5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Оборот общественного питания, млрд. руб.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+23,5</w:t>
            </w:r>
          </w:p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+2,9 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68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7084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Среднемесячная начисленная заработная плата работников организаций, руб.: </w:t>
            </w:r>
          </w:p>
        </w:tc>
        <w:tc>
          <w:tcPr>
            <w:tcW w:type="dxa" w:w="1280"/>
            <w:tcBorders>
              <w:start w:sz="3.199999999999818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янв-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2022</w:t>
            </w:r>
          </w:p>
        </w:tc>
      </w:tr>
      <w:tr>
        <w:trPr>
          <w:trHeight w:hRule="exact" w:val="244"/>
        </w:trPr>
        <w:tc>
          <w:tcPr>
            <w:tcW w:type="dxa" w:w="4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7084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номинальная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+9,8 </w:t>
            </w:r>
          </w:p>
        </w:tc>
        <w:tc>
          <w:tcPr>
            <w:tcW w:type="dxa" w:w="1416"/>
            <w:tcBorders>
              <w:start w:sz="3.199999999999818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+12,6 </w:t>
            </w:r>
          </w:p>
        </w:tc>
      </w:tr>
    </w:tbl>
    <w:p>
      <w:pPr>
        <w:autoSpaceDN w:val="0"/>
        <w:autoSpaceDE w:val="0"/>
        <w:widowControl/>
        <w:spacing w:line="197" w:lineRule="auto" w:before="2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22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        -  реальная (учитывает инфляцию)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+2,9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+2,0</w:t>
            </w:r>
          </w:p>
        </w:tc>
      </w:tr>
    </w:tbl>
    <w:p>
      <w:pPr>
        <w:autoSpaceDN w:val="0"/>
        <w:autoSpaceDE w:val="0"/>
        <w:widowControl/>
        <w:spacing w:line="25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18" w:history="1">
                <w:r>
                  <w:rPr>
                    <w:rStyle w:val="Hyperlink"/>
                  </w:rPr>
                  <w:t>Ключевая ставка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ЦБР с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19.09.2022г.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составляет, %: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+8,5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+7,5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Инфляция (годовая) на конец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сентября 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года (г/г)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производственная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+28,6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+14,4 </w:t>
            </w:r>
          </w:p>
        </w:tc>
      </w:tr>
      <w:tr>
        <w:trPr>
          <w:trHeight w:hRule="exact" w:val="24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7084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-  потребительская </w:t>
            </w:r>
          </w:p>
        </w:tc>
        <w:tc>
          <w:tcPr>
            <w:tcW w:type="dxa" w:w="1280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+6,7 </w:t>
            </w:r>
          </w:p>
        </w:tc>
        <w:tc>
          <w:tcPr>
            <w:tcW w:type="dxa" w:w="1416"/>
            <w:tcBorders>
              <w:start w:sz="3.199999999999818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+14,1 </w:t>
            </w:r>
          </w:p>
        </w:tc>
      </w:tr>
    </w:tbl>
    <w:p>
      <w:pPr>
        <w:autoSpaceDN w:val="0"/>
        <w:autoSpaceDE w:val="0"/>
        <w:widowControl/>
        <w:spacing w:line="266" w:lineRule="exact" w:before="0" w:after="26"/>
        <w:ind w:left="0" w:right="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(в текущих ценах)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422"/>
        </w:trPr>
        <w:tc>
          <w:tcPr>
            <w:tcW w:type="dxa" w:w="4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28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3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2021/2020,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  <w:tc>
          <w:tcPr>
            <w:tcW w:type="dxa" w:w="1418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5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>На 01.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.2022,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</w:p>
        </w:tc>
      </w:tr>
      <w:tr>
        <w:trPr>
          <w:trHeight w:hRule="exact" w:val="932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366" w:right="432" w:hanging="36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Сальдированный финансовый результат организаций (без субъектов малого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предпринимательства, кредитных организаций, государственных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(муниципальных) учреждений, некредитных финансовых организаций)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действующих ценах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2" w:lineRule="exact" w:before="212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 xml:space="preserve">+2,6р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(в основном за </w:t>
            </w:r>
          </w:p>
          <w:p>
            <w:pPr>
              <w:autoSpaceDN w:val="0"/>
              <w:autoSpaceDE w:val="0"/>
              <w:widowControl/>
              <w:spacing w:line="142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счет сырьевых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 xml:space="preserve">отраслей 2,6-6,4 </w:t>
            </w:r>
          </w:p>
          <w:p>
            <w:pPr>
              <w:autoSpaceDN w:val="0"/>
              <w:autoSpaceDE w:val="0"/>
              <w:widowControl/>
              <w:spacing w:line="13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2"/>
              </w:rPr>
              <w:t>р)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2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-2,7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Кредиторская задолженность организаций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 +18,8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+19,1</w:t>
            </w:r>
          </w:p>
        </w:tc>
      </w:tr>
      <w:tr>
        <w:trPr>
          <w:trHeight w:hRule="exact" w:val="356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27.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               - просроченная кредиторская задолженность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8" w:lineRule="exact" w:before="188" w:after="0"/>
              <w:ind w:left="144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5,9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 xml:space="preserve">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кредиторск задолж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4,9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0"/>
              </w:rPr>
              <w:t>от кредиторск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Сумма средств организаций на счетах в банках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+19,5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+29,9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Задолженность по кредитам, выданным физическим лицам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+23,9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+10,3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 задолженность по ипотечным жил.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+25,1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+10,6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7228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36" w:after="0"/>
              <w:ind w:left="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19" w:history="1">
                <w:r>
                  <w:rPr>
                    <w:rStyle w:val="Hyperlink"/>
                  </w:rPr>
                  <w:t xml:space="preserve"> просроченная задолженность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ипотечным кредитам от общей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задолженности по ипотечным кредитам </w:t>
            </w:r>
          </w:p>
        </w:tc>
        <w:tc>
          <w:tcPr>
            <w:tcW w:type="dxa" w:w="113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0,6%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0,5%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Средства (вклады, депозиты) физических лиц, привлечённые банками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+5,5 </w:t>
            </w:r>
          </w:p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+0,1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7228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Доходы консолидированного бюджета </w:t>
            </w:r>
          </w:p>
        </w:tc>
        <w:tc>
          <w:tcPr>
            <w:tcW w:type="dxa" w:w="113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8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+20,0</w:t>
            </w:r>
          </w:p>
        </w:tc>
      </w:tr>
    </w:tbl>
    <w:p>
      <w:pPr>
        <w:autoSpaceDN w:val="0"/>
        <w:autoSpaceDE w:val="0"/>
        <w:widowControl/>
        <w:spacing w:line="25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558"/>
        <w:gridCol w:w="2558"/>
        <w:gridCol w:w="2558"/>
        <w:gridCol w:w="2558"/>
      </w:tblGrid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34.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0" w:history="1">
                <w:r>
                  <w:rPr>
                    <w:rStyle w:val="Hyperlink"/>
                  </w:rPr>
                  <w:t xml:space="preserve"> Международные резервы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0" w:history="1">
                <w:r>
                  <w:rPr>
                    <w:rStyle w:val="Hyperlink"/>
                  </w:rPr>
                  <w:t>(ЗВР)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на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25.11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567,5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+8,3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-8,4 </w:t>
            </w:r>
          </w:p>
        </w:tc>
      </w:tr>
      <w:tr>
        <w:trPr>
          <w:trHeight w:hRule="exact" w:val="47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6" w:val="left"/>
              </w:tabs>
              <w:autoSpaceDE w:val="0"/>
              <w:widowControl/>
              <w:spacing w:line="230" w:lineRule="exact" w:before="48" w:after="0"/>
              <w:ind w:left="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1" w:history="1">
                <w:r>
                  <w:rPr>
                    <w:rStyle w:val="Hyperlink"/>
                  </w:rPr>
                  <w:t>Фонд национального благосостояния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 01.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11,4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трлн. руб.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или </w:t>
            </w:r>
            <w:r>
              <w:rPr>
                <w:u w:val="single" w:color="0000ff"/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184,8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млрд. долл. США (</w:t>
            </w:r>
            <w:r>
              <w:rPr>
                <w:u w:val="single" w:color="0000ff"/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hyperlink r:id="rId21" w:history="1">
                <w:r>
                  <w:rPr>
                    <w:rStyle w:val="Hyperlink"/>
                  </w:rPr>
                  <w:t>8,5 %</w:t>
                </w:r>
              </w:hyperlink>
            </w:r>
            <w:r>
              <w:rPr>
                <w:u w:val="single" w:color="0000ff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от ВВП)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-0,5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 xml:space="preserve">-18,0 </w:t>
            </w:r>
          </w:p>
        </w:tc>
      </w:tr>
      <w:tr>
        <w:trPr>
          <w:trHeight w:hRule="exact" w:val="240"/>
        </w:trPr>
        <w:tc>
          <w:tcPr>
            <w:tcW w:type="dxa" w:w="4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</w:p>
        </w:tc>
        <w:tc>
          <w:tcPr>
            <w:tcW w:type="dxa" w:w="72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0"/>
                <w:u w:val="single"/>
              </w:rPr>
              <w:hyperlink r:id="rId22" w:history="1">
                <w:r>
                  <w:rPr>
                    <w:rStyle w:val="Hyperlink"/>
                  </w:rPr>
                  <w:t>Государственный внешний долг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hyperlink r:id="rId22" w:history="1">
                <w:r>
                  <w:rPr>
                    <w:rStyle w:val="Hyperlink"/>
                  </w:rPr>
                  <w:t>,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на 01.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11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.22г. 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56,0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млрд. долл. США </w:t>
            </w:r>
          </w:p>
        </w:tc>
        <w:tc>
          <w:tcPr>
            <w:tcW w:type="dxa" w:w="10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F0000"/>
                <w:sz w:val="20"/>
              </w:rPr>
              <w:t>+5,3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AF50"/>
                <w:sz w:val="20"/>
              </w:rPr>
              <w:t>-5,6</w:t>
            </w:r>
          </w:p>
        </w:tc>
      </w:tr>
    </w:tbl>
    <w:p>
      <w:pPr>
        <w:autoSpaceDN w:val="0"/>
        <w:tabs>
          <w:tab w:pos="356" w:val="left"/>
          <w:tab w:pos="2518" w:val="left"/>
        </w:tabs>
        <w:autoSpaceDE w:val="0"/>
        <w:widowControl/>
        <w:spacing w:line="276" w:lineRule="exact" w:before="230" w:after="0"/>
        <w:ind w:left="72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Выводы и перспективы российской экономики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сравнению с прошлым 2021 годом макроэкономические показатели страны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ухудшились. Коронавирусная пандемия 2020 года негативно отразилась на всей мировой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экономике. Остановка работы большинства предприятий, раздача денег и дешевых кредитов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населению и бизнесу привели к отраслевым дисбалансам в экономике и логистике, к экономически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необеспеченному росту денежной массы и росту инфляции, к росту задолженности многих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предприятий, организаций и физических лиц во всех странах мира. </w:t>
      </w:r>
    </w:p>
    <w:p>
      <w:pPr>
        <w:autoSpaceDN w:val="0"/>
        <w:autoSpaceDE w:val="0"/>
        <w:widowControl/>
        <w:spacing w:line="278" w:lineRule="exact" w:before="0" w:after="0"/>
        <w:ind w:left="72" w:right="36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Российская экономика, зависящая от мировой долларовой системы и от импорта оборудования,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машин, запасных частей, электроники и пр., испытала те же негативные тенденции, как и вся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мировая: замедление роста ВВП, снижение роста промышленного производства, снижение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розничного товарооборота и объемов грузоперевозок, рост инфляции, рост задолженности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организаций и физических лиц, снижение доходов большинства населения. К этому добавилось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финансовых и торговых санкций Запада, направленных на полную изоляцию России.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Вместе с тем, эти санкции как цепная реакция ударили по всей мировой экономике, прежде всего,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европейской: высокая инфляция, повышение процентных ставок, структурный кризис, нарушение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логистических связей ведут к неконтролируемому спаду экономики и политической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дестабилизации стран. </w:t>
      </w:r>
    </w:p>
    <w:p>
      <w:pPr>
        <w:autoSpaceDN w:val="0"/>
        <w:autoSpaceDE w:val="0"/>
        <w:widowControl/>
        <w:spacing w:line="276" w:lineRule="exact" w:before="0" w:after="0"/>
        <w:ind w:left="72" w:right="38" w:firstLine="28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этих условиях Правительство принимает определенные адресные меры финансовой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поддержки и контроля, госрегулирования, стимулирования, помощи и поддержки производящих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других перспективных отраслей, и предприятий, восстановление и развитие которых должно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стать основой развития остальных отраслей экономики. Структурная перестройка экономики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потребует времени и средств, что отрицательно отразится на занятости и доходах бизнеса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населения в ближайшие 3-5 лет. Для большинства населения более востребованными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продукты питания и промышленные товары первой необходимости, нежели дорогостоящие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товары. </w:t>
      </w:r>
    </w:p>
    <w:p>
      <w:pPr>
        <w:autoSpaceDN w:val="0"/>
        <w:autoSpaceDE w:val="0"/>
        <w:widowControl/>
        <w:spacing w:line="197" w:lineRule="auto" w:before="51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23 </w:t>
      </w:r>
    </w:p>
    <w:p>
      <w:pPr>
        <w:sectPr>
          <w:pgSz w:w="11906" w:h="16838"/>
          <w:pgMar w:top="340" w:right="612" w:bottom="492" w:left="10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Считаем, что перед лицом небывалого мирового экономического и политического кризиса,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11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учитывая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высокую 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обороноспособность,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огромные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ресурсные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возможности,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низкий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государственный внешний долг и значительные накопленные средства Фонда национального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благосостояния, Россия, находится в менее уязвимом положении по сравнению с другими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ключевыми странами. Россия является и останется одной из самых влиятельных, политически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 стабильных и инвестиционно-перспективных стран. </w:t>
      </w:r>
    </w:p>
    <w:p>
      <w:pPr>
        <w:autoSpaceDN w:val="0"/>
        <w:autoSpaceDE w:val="0"/>
        <w:widowControl/>
        <w:spacing w:line="296" w:lineRule="exact" w:before="258" w:after="0"/>
        <w:ind w:left="0" w:right="20" w:firstLine="12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Ресурсные возможности страны (кадровые, научные, энергетические, сырьевые) и крепкое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государство, обеспечивающее национальную безопасность и внутреннюю стабильность, развитие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территорий и инфраструктуры, а также лучшее экономическое положение России по сравнению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другими странами в условиях мирового экономического и политического кризиса, при условии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активного участия государства, дают все возможности быстро восстановить финансовую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стабильность и отраслевую сбалансированность экономики. Сокращение импортозависимости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бόльшая автономизация российской экономики в условиях исчерпания мировых природных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ресурсов, а также высокая емкость рынка, позволяют выгодно для интересов страны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рационализировать отраслевую структуру, обеспечить стабильность и активность на всех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(включая рынок недвижимости) и стабильность роста доходов населения и бизнеса. </w:t>
      </w:r>
    </w:p>
    <w:p>
      <w:pPr>
        <w:autoSpaceDN w:val="0"/>
        <w:autoSpaceDE w:val="0"/>
        <w:widowControl/>
        <w:spacing w:line="298" w:lineRule="exact" w:before="176" w:after="0"/>
        <w:ind w:left="0" w:right="20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Большая территория страны и полная обеспеченность энергией и всеми необходимыми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минералами дают несравнимую с другими странами возможность развития промышленности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стройматериалов, строительства жилья, складов, объектов торговли и сферы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производственных цехов, коммунальных и других вспомогательных зданий, инженерной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и транспортных коммуникаций. </w:t>
      </w:r>
    </w:p>
    <w:p>
      <w:pPr>
        <w:autoSpaceDN w:val="0"/>
        <w:autoSpaceDE w:val="0"/>
        <w:widowControl/>
        <w:spacing w:line="292" w:lineRule="exact" w:before="168" w:after="0"/>
        <w:ind w:left="0" w:right="2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По мере развития рынка недвижимости и строительных технологий предъявляются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повышенные требования к качеству строительства и функциональным и эксплуатационным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свойствам зданий. Коррекция цен будет способствовать здоровой конкуренции на рынке,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повышению качества работ и степени готовности объектов, сдаваемых в эксплуатацию. </w:t>
      </w:r>
    </w:p>
    <w:p>
      <w:pPr>
        <w:autoSpaceDN w:val="0"/>
        <w:tabs>
          <w:tab w:pos="2486" w:val="left"/>
          <w:tab w:pos="3510" w:val="left"/>
          <w:tab w:pos="3968" w:val="left"/>
          <w:tab w:pos="5524" w:val="left"/>
          <w:tab w:pos="7734" w:val="left"/>
          <w:tab w:pos="8650" w:val="left"/>
        </w:tabs>
        <w:autoSpaceDE w:val="0"/>
        <w:widowControl/>
        <w:spacing w:line="300" w:lineRule="exact" w:before="16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Активное участие государства в формировании сбалансированной отраслевой структуры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экономики приведет к стабильному росту доходов и к восстановлению спроса на новые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реконструированные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здания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помещения.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Востребованными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будут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качественные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комфортабельное квартиры и индивидуальные жилые дома с возможностью онлайн-работы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полноценного отдыха, уличных прогулок и занятий спортом. </w:t>
      </w:r>
    </w:p>
    <w:p>
      <w:pPr>
        <w:autoSpaceDN w:val="0"/>
        <w:autoSpaceDE w:val="0"/>
        <w:widowControl/>
        <w:spacing w:line="298" w:lineRule="exact" w:before="162" w:after="0"/>
        <w:ind w:left="0" w:right="28" w:firstLine="1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Ситуация с быстрым распространением пандемии и закрытием границ стран показала большие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перспективы развития внутреннего туризма, индустрии краткосрочного отдыха выходного дня,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водного отдыха, что влечёт развитие и строительство отечественной рекреационной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инфраструктуры (гостиницы, дома отдыха и санатории, пляжи и аттракционы, внутренние дороги,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придорожный и прибрежный сервис, рекреационное благоустройство и инфраструктура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населенных пунктов). </w:t>
      </w:r>
    </w:p>
    <w:p>
      <w:pPr>
        <w:autoSpaceDN w:val="0"/>
        <w:autoSpaceDE w:val="0"/>
        <w:widowControl/>
        <w:spacing w:line="334" w:lineRule="exact" w:before="1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12.2.  АНАЛИЗ РЫНКА ОБЪЕКТА ОЦЕНКИ. </w:t>
      </w:r>
    </w:p>
    <w:p>
      <w:pPr>
        <w:autoSpaceDN w:val="0"/>
        <w:autoSpaceDE w:val="0"/>
        <w:widowControl/>
        <w:spacing w:line="272" w:lineRule="exact" w:before="48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Основываясь на основных постулатах теории отраслевых рынков, организационных полей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неоинституциональной теории, под рынком мы понимаем совокупность институциональных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соглашений, в рамках которых происходит организованный обмен товарами и ресурсами между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участниками, а их действия регулируются не только ценами, но и структурными связями,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институциональными формами и властными иерархиями. </w:t>
      </w:r>
    </w:p>
    <w:p>
      <w:pPr>
        <w:autoSpaceDN w:val="0"/>
        <w:autoSpaceDE w:val="0"/>
        <w:widowControl/>
        <w:spacing w:line="197" w:lineRule="auto" w:before="8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0" w:lineRule="exact" w:before="5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Товаром исследуемого рынка является ПО, а именно предоставление неисключительных прав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использование этого ПО. Данный товар является товаром длительного пользования, который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подвержен только моральному износу, но не физическому.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участники рынка – компании-разработчики, базовым видом деятельности которых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разработка компьютерного программного обеспечения (62.01 по ОКВЭД). Потребителей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 рынка ПО можно разделить на два сектора: потребительский и корпоративный.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Реселлерами называют посредников, распространяющих ПО в обоих секторах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потребителей. Одним из важных организационных полей является рынок аппаратного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обеспечения, так как пользователи ПО в любом случае являются и потребителями рынка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аппаратного обеспечения. При этом часть ПО может продаваться предустановленным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вычислительную технику.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12-1. Механизм функционирования рынка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1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314700" cy="4027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27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4" w:lineRule="exact" w:before="0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Помимо основных участников на рынок программного обеспечения существенно влияет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институциональная среда, в частности нормативно-правовые акты, регламентирующие авторское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право, лицензирующие деятельность, а также национальные и региональные законы. </w:t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не менее, являясь целостным, рынок производителей ПО состоит из нескольких обособленных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зачастую непересекающихся сегментов. Согласно классификации по степени взаимодействия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аппаратной частью компьютера ПО делится на три основные категории: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системное, инструментальное и прикладное. Исходя из этого рынок ПО можно условно разделить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пять сегментов: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1) сегмент системного ПО – рынок производства операционных систем, систем управления базами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данных, драйверов и утилит. Основная особенность данного сегмента состоит в высокой степени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монополизации и высокой степени конкуренции со стороны импортных производителей.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Драйверы для устройств, как правило, производят компании, создающие соответствующие ЭВМ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периферийные устройства, что делает их монополистами для каждого конкретного вида ПО;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2) сегмент рынка информационной безопасности – рынок производства антивирусного и другого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защитного ПО. Данный сегмент характеризуется наличием на нем нескольких крупных игроков; </w:t>
      </w:r>
    </w:p>
    <w:p>
      <w:pPr>
        <w:autoSpaceDN w:val="0"/>
        <w:autoSpaceDE w:val="0"/>
        <w:widowControl/>
        <w:spacing w:line="197" w:lineRule="auto" w:before="48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4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 сегмент рынка Интернета, интранета и сетевого ПО – включает производство браузеров, HTML-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редакторов, машинных переводчиков и графических средств web;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4) сегмент бизнес-ориентированного ПО – имеет наиболее широкий спектр продуктов и услуг,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включает производство офисного ПО, систем распознавания текста и машинного перевода,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инструментального ПО. Участники данного сегмента рынка имеют разные доли на рынке;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5) сегмент коммуникационного и мультимедийного ПО – также имеет достаточно широкий спектр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продукции. </w:t>
      </w:r>
    </w:p>
    <w:p>
      <w:pPr>
        <w:autoSpaceDN w:val="0"/>
        <w:autoSpaceDE w:val="0"/>
        <w:widowControl/>
        <w:spacing w:line="268" w:lineRule="exact" w:before="54" w:after="0"/>
        <w:ind w:left="0" w:right="2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Рассмотрим российский рынок ПО в целом, без деления на сегменты. Такой подход, с одной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позволяет провести комплексную оценку развития исследуемого рынка и,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оставляет задел для дальнейших исследований отдельных его сегментов.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Рынок ПО – один из самых динамично развивающихся в Российской Федерации. За последние 19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лет объем валовой прибыли увеличился в 55,8 раза (с учетом приведения цен к уровню 1999 г.).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12-2. Динамика валовой прибыли на рынке российского программного обеспечения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14240" cy="2457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245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период с 1999 по 2008 г. темпы прироста рынка составляли от 22 до 50 %, кроме 2001 г.,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котором наблюдается отрицательная динамика. Кризис 2008 г. отразился и на исследуемом рынке.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Так, в 2009 г. темп прироста имел отрицательную величину и составил –7 %. Однако затем рынок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стабилизировался и до 2014 г. имел темпы прироста в пределах 3–20 %. События 2014 г. дали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новый толчок развитию, и уже в 2015 г. темп прироста на российском рынке ПО составил 19,6 %,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2016 г. – 27,8 %, в 2017 г. – 22 %.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 последние 5 лет на рынке поменялись ключевые участники, появились новые быстро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развивающиеся ИТ-компании, которые завоевали весомую долю рынка. Лидирующие позиции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объемам валовой прибыли занимает ООО «Яндекс», объем которой за 5 лет увеличился в 1,6 раза.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целом все крупнейшие ИТ-компании России имеют положительную динамику по валовой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прибыли. Однако, несмотря на ускоренное развитие данного рынка, имеющихся мощностей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хватает для обеспечения необходимым ПО всех предприятий и других структур, о чем говорит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серьезная доля импортного ПО в России.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оценке РУССОФТ, в России функционирует не менее 4,5 тыс. устойчивых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профессионально занимающихся разработкой программного обеспечения (не считая стартапов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иных предприятий, которые не имеют регулярного дохода). Ежегодно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растет примерно на 2-4%. Согласно этой оценке, из них в 2021 г. внешнеэкономическую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деятельность вели не менее 2,5 тыс. компаний. Опыт продаж за рубеж, в том числе, в ближнем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зарубежье, имеют до 3 тыс. компаний. Стабильно каждый год экспортный доход получали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2-2,2 тыс. компаний. </w:t>
      </w:r>
    </w:p>
    <w:p>
      <w:pPr>
        <w:autoSpaceDN w:val="0"/>
        <w:autoSpaceDE w:val="0"/>
        <w:widowControl/>
        <w:spacing w:line="274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последние несколько лет доля компаний с наличием дохода от зарубежных продаж, видимо,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либо почти не изменялась в течение года, либо немного сокращалась. С одной стороны,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прежде работали только в России, начинают выходить на зарубежные рынки. С другой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стороны, компании, имеющие незначительный доход от экспорта (до 10% от всей выручки) </w:t>
      </w:r>
    </w:p>
    <w:p>
      <w:pPr>
        <w:autoSpaceDN w:val="0"/>
        <w:autoSpaceDE w:val="0"/>
        <w:widowControl/>
        <w:spacing w:line="197" w:lineRule="auto" w:before="20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26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 переориентировались на более привлекательный для них российский рынок.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Преимущественно это касается небольших компаний, которые не смогли закрепиться на рынках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западных стран. Результаты опроса говорят о том, что число компаний, которые в последние 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переориентировались полностью на российский рынок, чуть больше, чем количество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в 2021 г. начинали работу за рубежом. Последний опрос софтверных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проведенный РУССОФТ в 2022 г., показал, что у 3,5% компаний экспортные доходы, имевшиеся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2020 г., сократились до нуля в 2021 г. При этом столько же компаний имели зарубежные продажи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2021 г. при отсутствии экспортных доходов в 2020 г. Согласно банковской отчетности, которая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поступает в ЦБ РФ, денежные средства за предоставленные «компьютерные услуги» (разъяснения,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под ними подразумевается, представлены ниже в разделе 2.3.) в 2017 г. получили из-за рубежа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около 9 тыс. компаний. В том же году, РУССОФТ предполагал, что количество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компаний, являющихся экспортерами, превышает 2,2 тыс. Однако разница в данных РУССОФТ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ЦБ России (2,2 тыс. и 9 тыс. соответственно) как по числу компаний экспортеров, так и по общему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софтверных предприятий, объясняется тем, что одна и та же компания в понимании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может продавать свои услуги и решения через несколько связанных с ней юридических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лиц. Кроме того, доход от «компьютерных услуг» имеют возможность получать компании,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софтверными считаться не могут, поскольку для них разработка ПО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основным направлением деятельности.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12-3. Количество российских софтверных компаний (оценка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74970" cy="98043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980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12-4. Совокупная численность профильных сотрудников на конец 2021 г., тыс. чел. </w:t>
      </w:r>
    </w:p>
    <w:p>
      <w:pPr>
        <w:autoSpaceDN w:val="0"/>
        <w:autoSpaceDE w:val="0"/>
        <w:widowControl/>
        <w:spacing w:line="240" w:lineRule="auto" w:before="0" w:after="0"/>
        <w:ind w:left="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32105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32105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Совокупный оборот предприятий софтверной отрасли России составил по итогам 2021 г. ₽1,56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трлн, увеличившись на 19%. Доходы от экспорта и от продаж внутри России (в рублях)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увеличились одинаково — примерно на те же 19%. </w:t>
      </w:r>
    </w:p>
    <w:p>
      <w:pPr>
        <w:autoSpaceDN w:val="0"/>
        <w:autoSpaceDE w:val="0"/>
        <w:widowControl/>
        <w:spacing w:line="274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рассматривать темпы роста совокупного оборота предприятий отрасли, то 2021 г.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одним из самых удачных для софтверной индустрии за последнее десятилетие. Увеличение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выручки в долларовом или рублевом выражении в некоторые предыдущие годы было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значительнее, но, как правило, этот рост был обусловлен сильными колебаниями курса рубля по </w:t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000" w:val="left"/>
          <w:tab w:pos="2000" w:val="left"/>
          <w:tab w:pos="2956" w:val="left"/>
          <w:tab w:pos="4404" w:val="left"/>
          <w:tab w:pos="6104" w:val="left"/>
          <w:tab w:pos="7744" w:val="left"/>
          <w:tab w:pos="9350" w:val="left"/>
        </w:tabs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отношению к доллару. В 2015 г. при росте совокупной выручки в рублях на 40% было даже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зафиксировано ее падение на 10% в долларах. В 2017 г. было наоборот — расчеты в долларах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показали увеличение совокупной выручки на 19%, а в рублях — только на 4%. Для того, чтобы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видеть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тренд,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рассчитывает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бивалютный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индекс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(средневзвешенное изменение продаж за рубежом в долларах и продаж на внутреннем рынке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рублях). Показатель не идеальный, поскольку не учитывает изменений ценности рубля и доллара,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связанных с валютными колебаниями. Тем не менее, он дает общее представление о динамике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процесса. </w:t>
      </w:r>
    </w:p>
    <w:p>
      <w:pPr>
        <w:autoSpaceDN w:val="0"/>
        <w:autoSpaceDE w:val="0"/>
        <w:widowControl/>
        <w:spacing w:line="27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По бивалютному индексу видно, что софтверная индустрия с 2014 г.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(прежде РУССОФТ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рассчитывал только выручку от экспорта) растет не менее чем на 10% в год (такой рост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соответствует индексу 1,1), а в отдельные годы — более чем на 20%. Следовательно,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подтверждается версия, согласно которой совокупная выручка предприятий отрасли, с учетом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бивалютного индекса РУССОФТ, имеет ограничители роста — минимум 10% и максимум 20%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 чуть больше). </w:t>
      </w:r>
    </w:p>
    <w:p>
      <w:pPr>
        <w:autoSpaceDN w:val="0"/>
        <w:autoSpaceDE w:val="0"/>
        <w:widowControl/>
        <w:spacing w:line="274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12-5. Прирост оборота и зарубежных продаж российских софтверных компаний в 2014-2021 годы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74410" cy="128777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74410" cy="12877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Нижняя планка определялась тем, что мировая потребность в разработке ПО не удовлетворяется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полностью. Поэтому даже при отсутствии увеличения платежеспособного спроса на внутреннем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отрасль может расти за счёт экспорта хотя бы на 10%. Верхний предел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кадровым дефицитом. Штат софтверных компаний можно увеличить максимум на 12-13%,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обеспечивает прирост оборота примерно на 20%. Продуктовые компании меньше зависят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численности разработчиков ПО, но их развитие ограничивается наличием на рынке тех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специалистов, которые могут продвигать тиражируемые решения на различных рынках.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Можно отметить, что в последние 2 года темп роста продаж на внутреннем рынке сравнялся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темпами роста продаж за рубежом (+19% в рублевом выражении). Сближение этих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свидетельствует о том, что значительная часть российских софтверных компаний научилась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переориентироваться с внешних рынков на внутренний или с внутреннего на внешние, реагируя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изменение спроса. Сказывается также и благоприятная для отечественных разработчиков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ситуация на внутреннем рынке.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в отдельные годы не наблюдалось значительного его расширения, то в 2022 г. место на нём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освобождают зарубежные компании (в большой степени из-за санкционной политики США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снижения доверия к американскому и европейскому программному обеспечению). В последние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годы российские софтверные компании переориентируются преимущественно с рынков западных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на отечественный рынок и рынки «дружественных» государств. Поскольку среднегодовые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курсы доллара в 2021 г. и 2020 г. отличаются незначительно (73,7 руб. и 72,15 руб.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соответственно), то показатели роста совокупного оборота российских софтверных предприятий,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измеряемые в долларах и рублях, в эти годы почти совпадают (+17% и +19% соответственно).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Благодаря сформированной Ассоциацией РУССОФТ базе софтверных компаний с данными об 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выручке и штате появилась возможность проверить сделанные нами расчёты. В этой базе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информация о выручке в 2020-2021 годы 6246 юридических лиц, указавших основным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направлением деятельности разработку ПО (код ОКВЭД 62.0 и 62.01). Совокупный оборот этих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юридических лиц составил по итогам 2021 г. ₽881 млрд ($11,952 млрд), что на 19,6% больше, чем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годом ранее (+17,1%, если сравнивать показатели в пересчете в доллары). Следовательно, имеется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почти полное совпадение данных статистики с результатами опроса. Оно в данном случае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является обязательным, поскольку в сформированной базе имеются бухгалтерские показатели не </w:t>
      </w:r>
    </w:p>
    <w:p>
      <w:pPr>
        <w:autoSpaceDN w:val="0"/>
        <w:autoSpaceDE w:val="0"/>
        <w:widowControl/>
        <w:spacing w:line="197" w:lineRule="auto" w:before="1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2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всех юридических лиц с кодом ОКВЭД 62.0 или 62.01 (не хватает информации о выручке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примерно 3 тыс. компаний). При этом РУССОФТ ориентируется на реальную выручку,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ту, что остается за рубежом, а не на бухгалтерские показатели. Разница между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совокупной бухгалтерской выручки юрлиц с кодом ОКВЭД 62.0 или 62.01 и увеличением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реального совокупного оборота, рассчитанного по методике РУССОФТ, вполне может составлять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2-3 процентных пункта. При большем расхождении появится повод сомневаться в точности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расчетов, если у этого расхождения не будет объяснений. </w:t>
      </w:r>
    </w:p>
    <w:p>
      <w:pPr>
        <w:autoSpaceDN w:val="0"/>
        <w:autoSpaceDE w:val="0"/>
        <w:widowControl/>
        <w:spacing w:line="276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данных сформированной базы компаний позволяет проверить и абсолютную величину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совокупного оборота предприятий софтверной индустрии. Если, согласно бухгалтерской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отчетности, общая выручка 6 тыс. из 9 тыс. юридических лиц, разрабатывающих ПО, составляет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₽881 млрд, то реальный совокупный оборот всех предприятий индустрии вполне может составить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₽1,56 трлн. Важно напомнить, что с 2020 г. для подведения итогов предыдущего года базовой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валютой расчета финансовых показателей компаний в исследовании РУССОФТ стал российский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рубль (прежде был доллар США). Если до 2020 г. РУССОФТ собирал информацию об оборотах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в долларах (соответствующим образом были сформулированы вопросы в анкете) и в них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делал все расчеты с пересчетом показателей в рубли по среднегодовому курсу, то начиная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2020 г. данные базируются на показателях в рублевом выражении, которые затем дополнительно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переводятся в доллары. Это делается для того, чтобы были возможны сравнения показателей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российской индустрии разработки ПО на международном уровне. В 2018 г. сразу несколько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крупных российских компаний сменили российскую юрисдикцию на юрисдикцию зарубежных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стран, что привело к тому, что они перестали считаться российскими по критериям РУССОФТ.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Соответственно, произошло уменьшение суммарных значений объема оборота и экспорта всей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индустрии. Чтобы не возникало непонимания из-за видимого несоответствия объемов продаж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темпов роста в 2018 и в 2019 гг., начиная с 2019 г. для подведения итогов была создана новая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таблица. Указанные в ней изменения показателей относятся только к тому кругу компаний,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по-прежнему считаются российскими (таковыми они были и в предыдущие годы). В 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же время, несмотря на изменение абсолютных величин оборота, связанного с изменением состава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респондентов, сравнение темпов роста (сокращения) за все годы проведения исследования вполне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оправданно (в том числе, в 2018 и 2019 годы). </w:t>
      </w:r>
    </w:p>
    <w:p>
      <w:pPr>
        <w:autoSpaceDN w:val="0"/>
        <w:autoSpaceDE w:val="0"/>
        <w:widowControl/>
        <w:spacing w:line="228" w:lineRule="exact" w:before="4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Рисунок 12-6.Основные экономические показатели, характеризующие софтверную индустрию России в 2013-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2018 годы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23280" cy="32893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328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30" w:lineRule="exact" w:before="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Рисунок 12-7. Основные экономические показатели, характеризующие софтверную индустрию России в 2019-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2021 гг. (рост/падение по сравнению с аналогичным показателем предыдущего года)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8930" cy="242951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24295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4" w:lineRule="exact" w:before="27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Совокупные зарубежные продажи предприятий софтверной индустрии по итогам 2021 г. выросли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19% в рублевом выражении и на 17% в долларовом выражении. В результате доходы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экспорта российских софтверных компаний превысили $10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12-8. Объем зарубежных продаж в 2003-2021 годы (прирост за год), $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66790" cy="18732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66790" cy="187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8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бы в 2019 г. не произошло продажи ряда российских софтверных компаний (Luxoft, Parallels,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Transas) иностранным партнерам, то совокупный объем зарубежных продаж ИТ-индустрии уже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2019 г. превысил бы $11 млрд, а по итогам 2021 г. — $13 млрд.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Зарубежные продажи софтверных компаний не стоит путать с их экспортными поступлениями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ПО и услуг по его разработке. Каждое это понятие имеет соответствующее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количественное измерение. Существует три разных показателя деятельности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за границей: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совокупный объем зарубежных продаж,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экспорта «компьютерных услуг»,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— объем экспортных поступлений. </w:t>
      </w:r>
    </w:p>
    <w:p>
      <w:pPr>
        <w:autoSpaceDN w:val="0"/>
        <w:autoSpaceDE w:val="0"/>
        <w:widowControl/>
        <w:spacing w:line="276" w:lineRule="exact" w:before="4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Их отличие друг от друга вполне может быть весьма существенным. Объем экспорта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определяется ЦБ России на основе информации, поступающей в ЦБ России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 банков по соответствующей группе классификатора ОКВЭД. Их объем по итогам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увеличился на 13,5% до $5,094 млрд, что составляет 59% от общего объема зарубежных продаж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российских софтверных компаний. По итогам 2021 г. этот показатель достиг $6,35 млрд,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увеличившись за год на 24,7%. В результате объем экспорта компьютерных услуг (по данным ЦБ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РФ) стал составлять 63% от зарубежных продаж российских софтверных компаний (по расчетам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РУССОФТ). Разница между двумя показателями сокращается. В 2019 г. это произошло прежде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всего из-за того, что несколько крупных компаний в результате смены собственников перестали </w:t>
      </w:r>
    </w:p>
    <w:p>
      <w:pPr>
        <w:autoSpaceDN w:val="0"/>
        <w:autoSpaceDE w:val="0"/>
        <w:widowControl/>
        <w:spacing w:line="197" w:lineRule="auto" w:before="12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считаться российскими (они значительную часть выручки оставляли за рубежом). К тому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средняя зарплата у разработчиков ПО в России в 2020 г. стала увеличиваться быстрее, чем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предыдущие годы, а во время пандемии не было никакой возможности проводить зарубежные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маркетинговые акции. Тем не менее, разница между двумя показателями (экспортом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компьютерных услуг и зарубежными продажами софтверных компаний) по-прежнему велика. Она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вызывает вопросы и недоумение, но имеет вполне логичное объяснение.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Статистика внешней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торговли по «компьютерным услугам» разрабатывается на основе между народной методологии,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изложенной в «Руководстве по статистике международной торговли услугами, 2010 год», ООН.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компьютерным услугам относятся операции, связанные с созданием и внедрением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разработкой, созданием, поставкой и предоставлением документации на заказное программное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обеспечение; приобретением готового программного обеспечения, поставляемого электронными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средствами; приобретением лицензий на программное обеспечение без права на воспроизведение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распространение. 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Кроме того, в данную категорию услуг включаются работы, связанные с обработкой данных,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созданием, восстановлением, размещением на сервере, хранением баз данных и работой с ними;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услуги по разработке, дизайну и размещению веб-страниц на сервере; услуги по установке,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ремонту и обслуживанию вычислительной техники и программного обеспечения; предоставление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консультационных услуг, связанных с программным обеспечением и функционированием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вычислительной техники, а также обучение в рамках консультирования. Основными источниками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 при формировании статистики внешней торговли Российской Федерации услугами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являются сведения, содержащиеся в отчетности кредитных организаций, утверждаемой Банком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России. </w:t>
      </w:r>
    </w:p>
    <w:p>
      <w:pPr>
        <w:autoSpaceDN w:val="0"/>
        <w:autoSpaceDE w:val="0"/>
        <w:widowControl/>
        <w:spacing w:line="228" w:lineRule="exact" w:before="4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12-9. Сравнение объема экспорта компьютерных услуг (статистика ЦБ России) и объема зарубежных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продаж софтверных компаний (расчет РУССОФТ)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057900" cy="302894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0289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сообщений, касающихся непосредственно импортозамещения ПО, позволяет сделать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следующие выводы. Прежде всего, стоит отметить активизацию перехода российских корпораций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органов власти на отечественное ПО после некоторого замедления в 2020 г., вызванного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неопределенностью ситуации в первые месяцы после объявления пандемии. В 2021 г. ускорение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процесса, наблюдавшееся до пандемии, продолжилось и стало очевидным (произошло, по-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видимому, наверстывание в выполнении планов, уже намеченных на 2020-2021 годы). В 2022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 на отечественное ПО еще более активизировался. Если судить по количеству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таком переходе за первые 7 мес., то их оказалось примерно в 2 раза больше. </w:t>
      </w:r>
    </w:p>
    <w:p>
      <w:pPr>
        <w:autoSpaceDN w:val="0"/>
        <w:autoSpaceDE w:val="0"/>
        <w:widowControl/>
        <w:spacing w:line="197" w:lineRule="auto" w:before="44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31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6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Также нужно отметить увеличившееся в 2021 г. количество сообщений о принятых или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91"/>
        <w:gridCol w:w="1691"/>
        <w:gridCol w:w="1691"/>
        <w:gridCol w:w="1691"/>
        <w:gridCol w:w="1691"/>
        <w:gridCol w:w="1691"/>
      </w:tblGrid>
      <w:tr>
        <w:trPr>
          <w:trHeight w:hRule="exact" w:val="276"/>
        </w:trPr>
        <w:tc>
          <w:tcPr>
            <w:tcW w:type="dxa" w:w="160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планируемых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решениях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правительства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(крупнейших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компаний), 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стимулирующих </w:t>
            </w:r>
          </w:p>
        </w:tc>
      </w:tr>
    </w:tbl>
    <w:p>
      <w:pPr>
        <w:autoSpaceDN w:val="0"/>
        <w:autoSpaceDE w:val="0"/>
        <w:widowControl/>
        <w:spacing w:line="272" w:lineRule="exact" w:before="0" w:after="4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импортозамещение (обеспечение технологического суверенитета). При этом среди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появились те, которые отражали активность ключевых частных компаний и других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76"/>
        </w:trPr>
        <w:tc>
          <w:tcPr>
            <w:tcW w:type="dxa" w:w="2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негосударственных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(прежде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всего,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отраслевых 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ассоциаций),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предлагавших </w:t>
            </w:r>
          </w:p>
        </w:tc>
      </w:tr>
    </w:tbl>
    <w:p>
      <w:pPr>
        <w:autoSpaceDN w:val="0"/>
        <w:autoSpaceDE w:val="0"/>
        <w:widowControl/>
        <w:spacing w:line="278" w:lineRule="exact" w:before="0" w:after="0"/>
        <w:ind w:left="0" w:right="3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откорректировать политику государства в этой области. В 2022 г. соответствующих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стало еще больше из-за начала специальной военной операции на Украине и новых угрозах,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возникших в связи с санкциями и с уходом из России компаний, подчиняющихся политике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«недружественных» стран. </w:t>
      </w:r>
    </w:p>
    <w:p>
      <w:pPr>
        <w:autoSpaceDN w:val="0"/>
        <w:autoSpaceDE w:val="0"/>
        <w:widowControl/>
        <w:spacing w:line="276" w:lineRule="exact" w:before="46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Совершенствование российских ИТ-решений (или даже создание платформенных решений) стало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чаще упоминаться с сентября 2020 г. В последние 4 мес. того года было 3 таких сообщения, а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предшествовавшие им 8 мес. — только одно (в 2021 г. за первые 8 мес. — 3). В данном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важнее не само их количество, а динамика. Впоследствии оказалось, что в конце 2020 г.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активизация разработчиков только начиналась: в 2021 г. и 2022 г. количество соответствующих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сообщений стало ежегодно расти примерно в 3 раза. </w:t>
      </w:r>
    </w:p>
    <w:p>
      <w:pPr>
        <w:autoSpaceDN w:val="0"/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Совсем мало было статистических данных, характеризующих процесс импортозамещения. С этим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раньше были проблемы, особенно в плане их достоверности. Скорее всего, такие данные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попадали в СМИ ввиду их отсутствия. В 2021 г. их стало в разы больше, чем годом ранее.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итогам 2022 г. этот рост продолжится, а число публикаций с большой долей вероятности вырастет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более чем в2 раза (возможно, в 3-4 раза). Даже аналитические компании (например, IDC) начали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предоставлять СМИ такие данные, потому что тема «импортозамещения» становится самой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значимой для российского ИТ-рынка. В то же время, в целом весь процесс импортозамещения (а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тем более — обеспечения технологического суверенитета) оценить однозначно и достаточно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точно по всем представляемым количественным показателям еще невозможно. Понятно, что этот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процесс ускорялся в предыдущие годы, а после начала специальной военной операции темпы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перехода на отечественное ПО еще более увеличились (по отдельным категориям ПО — в 2-3 раза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сравнении с аналогичным периодом прошлого года).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Естественно, в первой половине 2022 г. появилось на порядок больше сообщений об ограничениях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продажи импортного ПО со стороны зарубежных вендоров. При этом значимость этих сообщений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резко возросла: если раньше речь шла о санкциях по отношению к определенным российским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структурам или к целым отраслям (оборонный комплекс, нефтегазовая промышленность), то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марте 2022 г. начался отказ от всех поставок и от поддержки всех российских пользователей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связи с полным уходом зарубежных компаний (прежде всего, американских и европейских)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российского рынка. Одни вендоры всё-таки старались подготовить российских клиентов к своему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уходу из России, другие же отказывались от уже оплаченных поставок и не собирались возвращать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уже произведенные платежи. </w:t>
      </w:r>
    </w:p>
    <w:p>
      <w:pPr>
        <w:autoSpaceDN w:val="0"/>
        <w:autoSpaceDE w:val="0"/>
        <w:widowControl/>
        <w:spacing w:line="276" w:lineRule="exact" w:before="0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результатам опроса 2021 г. распределение мест в рейтинге самых популярных языков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программирования по доле сотрудников, использующих конкретный язык программирования, 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год не изменилось. Даже показатель для ранжирования оказался по всем языкам почти таким же,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в 2020 г. Однако произошло расширение рейтинга за счет включения в него языков Kotlin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Swift (вместо 8 ранжируемых языков их стало 10). В результате добавления этих двух языков,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Visual Basic.NET компании Microsoft был оттеснен с 8 на 10-е место. Java вышла в лидеры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основном рейтинге в 2019 г. (еще до изменения анкеты) и по доле сотрудников, использующих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этот язык программирования, занимает первое место как в 2020 г., так и 2021 г. Однако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количеству упоминаний среди опрошенных компаний в последние два года лидером оказался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JavaScript (с существенным отрывом от остальных). В 2022 г. Java и JavaScript укрепили свои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лидирующие позиции, языки C#, C++, C стали терять популярность, а новички рейтинга Swift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Kotlin продолжили восхождение. В 2019 г., по версии JetBrains, Python обошел Java в списке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используемых языков и в России, и в мире. Однако в качестве основного языка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большинство опрошенных по-прежнему везде выбирали Java. TypeScript и С++ вытеснили PHP из </w:t>
      </w:r>
    </w:p>
    <w:p>
      <w:pPr>
        <w:autoSpaceDN w:val="0"/>
        <w:autoSpaceDE w:val="0"/>
        <w:widowControl/>
        <w:spacing w:line="197" w:lineRule="auto" w:before="4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32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2" w:lineRule="exact" w:before="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пятерки наиболее часто используемых языков в мире, а в России PHP все еще держался на 4-м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месте. </w:t>
      </w:r>
    </w:p>
    <w:p>
      <w:pPr>
        <w:autoSpaceDN w:val="0"/>
        <w:autoSpaceDE w:val="0"/>
        <w:widowControl/>
        <w:spacing w:line="276" w:lineRule="exact" w:before="4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Топ-5 языков программирования для мира в целом: JavaScript (70,6%), Python (56,1%),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(55,6%), TypeScript (28,5%), C++ (27,6%); для России: JavaScript (62,8%), Python (46,8%), Java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(36,5%), PHP (24,5%), TypeScript (23,1%). </w:t>
      </w:r>
    </w:p>
    <w:p>
      <w:pPr>
        <w:autoSpaceDN w:val="0"/>
        <w:autoSpaceDE w:val="0"/>
        <w:widowControl/>
        <w:spacing w:line="230" w:lineRule="exact" w:before="46" w:after="0"/>
        <w:ind w:left="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12-10. Самые популярные языки программирования в российских софтверных компаниях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(данные опросов 2021-2022 гг.).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48250" cy="291846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91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Вывод: с учетом первичных и вторичных антироссийских санкций, предварительно можно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предположить, что совокупные зарубежные продажи российских софтверных компаний по итогам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2022 г. окажутся ниже уровня предыдущего года. При этом продажи отечественных софтверных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компаний на внутреннем рынке увеличатся минимум на 15-20% в рублевом выражении. Таким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образом, несмотря на переезд центров продаж компаний экспортеров в соседние страны и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существенные кадровые потери от самостоятельного выезда специалистов за рубеж, совокупный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 предприятий отрасли всё же не упадет критически, а увеличится на 5-10% в рублевом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выражении. </w:t>
      </w:r>
    </w:p>
    <w:p>
      <w:pPr>
        <w:autoSpaceDN w:val="0"/>
        <w:autoSpaceDE w:val="0"/>
        <w:widowControl/>
        <w:spacing w:line="388" w:lineRule="exact" w:before="71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13. ОПИСАНИЕ ПРОЦЕССА ОЦЕНКИ </w:t>
      </w:r>
    </w:p>
    <w:p>
      <w:pPr>
        <w:autoSpaceDN w:val="0"/>
        <w:tabs>
          <w:tab w:pos="710" w:val="left"/>
          <w:tab w:pos="1448" w:val="left"/>
        </w:tabs>
        <w:autoSpaceDE w:val="0"/>
        <w:widowControl/>
        <w:spacing w:line="308" w:lineRule="exact" w:before="212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13.1. Последовательность определения стоимости объекта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Оценка проводилась в соответствии с Федеральным Стандартом Оценки №11 «Оценка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нематериальных активов и интеллектуальной собственности». При определении стоимости НМА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наиболее вероятная расчетная величина, являющаяся денежным выражением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активов, которые не имеют материально-вещественной формы, проявляют себя своими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экономическими свойствами, дают выгоды их собственнику (правообладателю) и генерируют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него доходы (выгоды).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24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Заключение договора на оценку; </w:t>
      </w:r>
    </w:p>
    <w:p>
      <w:pPr>
        <w:autoSpaceDN w:val="0"/>
        <w:tabs>
          <w:tab w:pos="1418" w:val="left"/>
        </w:tabs>
        <w:autoSpaceDE w:val="0"/>
        <w:widowControl/>
        <w:spacing w:line="320" w:lineRule="exact" w:before="6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Формирование задания на оценку;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положения Российской Федерации в мире; </w:t>
      </w:r>
    </w:p>
    <w:p>
      <w:pPr>
        <w:autoSpaceDN w:val="0"/>
        <w:tabs>
          <w:tab w:pos="1418" w:val="left"/>
        </w:tabs>
        <w:autoSpaceDE w:val="0"/>
        <w:widowControl/>
        <w:spacing w:line="310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Анализ состояния отрасли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подходов к оценке объекта оценки; </w:t>
      </w:r>
    </w:p>
    <w:p>
      <w:pPr>
        <w:autoSpaceDN w:val="0"/>
        <w:tabs>
          <w:tab w:pos="1418" w:val="left"/>
        </w:tabs>
        <w:autoSpaceDE w:val="0"/>
        <w:widowControl/>
        <w:spacing w:line="306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Провести расчет стоимости объекта оценки; </w:t>
      </w:r>
    </w:p>
    <w:p>
      <w:pPr>
        <w:autoSpaceDN w:val="0"/>
        <w:autoSpaceDE w:val="0"/>
        <w:widowControl/>
        <w:spacing w:line="197" w:lineRule="auto" w:before="7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1418" w:val="left"/>
        </w:tabs>
        <w:autoSpaceDE w:val="0"/>
        <w:widowControl/>
        <w:spacing w:line="294" w:lineRule="exact" w:before="0" w:after="0"/>
        <w:ind w:left="71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Составление отчета об оценке. </w:t>
      </w:r>
    </w:p>
    <w:p>
      <w:pPr>
        <w:autoSpaceDN w:val="0"/>
        <w:tabs>
          <w:tab w:pos="710" w:val="left"/>
          <w:tab w:pos="1120" w:val="left"/>
          <w:tab w:pos="4018" w:val="left"/>
        </w:tabs>
        <w:autoSpaceDE w:val="0"/>
        <w:widowControl/>
        <w:spacing w:line="314" w:lineRule="exact" w:before="22" w:after="0"/>
        <w:ind w:left="0" w:right="0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13.2. Иные сведения, необходимые для полного и достаточного представления </w:t>
      </w:r>
      <w:r>
        <w:tab/>
      </w: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результата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положениями п. 11 ФСО VI в настоящем разделе приводятся иные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сведения, необходимые, по мнению Оценщика, для полного и достаточного представления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 оценки (однозначного понимания сущности и содержания, выполненного Оценщиком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исследования и итоговой величины стоимости).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Расчеты выполнены в программе MS Excel версии 2016 с настройкой «по умолчанию»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(программа хранит и выполняет вычисления с точностью 15 значащих цифр). Режим «задать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указанную точность» не применялся (также обозначается как «точность как на экране» в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версиях MS Excel). В приведенных в настоящем Отчете таблицах отображаются числовые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значения в объеме, комфортном для зрительного восприятия. </w:t>
      </w:r>
    </w:p>
    <w:p>
      <w:pPr>
        <w:autoSpaceDN w:val="0"/>
        <w:autoSpaceDE w:val="0"/>
        <w:widowControl/>
        <w:spacing w:line="318" w:lineRule="exact" w:before="0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Используемые в расчетах справочные показатели, полученные из независимых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источников (в частности, данные Банка России и других), могут отображаться на экране при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обращении к сайтам (источникам, ссылки на которые приведены в тексте настоящего Отчета),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 также при использовании сведений из того же источника, но опубликованных в другом издании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Статистическом бюллетене Банка России) с меньшим числом значащих цифр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(разрядов), чем данные, полученные из того же источника, но содержащиеся в загружаемых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файлах формата MS Excel (*.xlsx или *.xls). В расчетах используются значения, приведенные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загруженных файлах, без округления. </w:t>
      </w:r>
    </w:p>
    <w:p>
      <w:pPr>
        <w:autoSpaceDN w:val="0"/>
        <w:autoSpaceDE w:val="0"/>
        <w:widowControl/>
        <w:spacing w:line="318" w:lineRule="exact" w:before="0" w:after="0"/>
        <w:ind w:left="0" w:right="26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Планы, схемы, чертежи и иные иллюстративные материалы, если таковые приведены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Отчете, призваны помочь пользователю Отчета получить наглядное представление об объекте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и не должны использоваться в каких-либо других целях (например, для расчета площади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недвижимости по его схеме). </w:t>
      </w:r>
    </w:p>
    <w:p>
      <w:pPr>
        <w:autoSpaceDN w:val="0"/>
        <w:autoSpaceDE w:val="0"/>
        <w:widowControl/>
        <w:spacing w:line="318" w:lineRule="exact" w:before="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В соответствии с требованиями п. 8 ФСО VI в приложении к Отчету приведены в том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числе копии исходных документов, представленных Заказчиком (их графические изображения).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указанных копиях могут быть не видны (не полностью видны) следы заверения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соответствующих материалов Заказчика, в т.ч. в связи с их предоставлением в электронном виде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подписью ЭЦП. При этом Оценщик гарантирует, что все материалы, предоставленные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Заказчиком, были оформлены в соответствии с требованиями п. 13 ФСО III, их оригиналы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хранятся в архиве Оценщика. </w:t>
      </w:r>
    </w:p>
    <w:p>
      <w:pPr>
        <w:autoSpaceDN w:val="0"/>
        <w:tabs>
          <w:tab w:pos="710" w:val="left"/>
          <w:tab w:pos="2070" w:val="left"/>
        </w:tabs>
        <w:autoSpaceDE w:val="0"/>
        <w:widowControl/>
        <w:spacing w:line="314" w:lineRule="exact" w:before="222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13.3.  Обоснование выбора подходов и методов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Согласно Федерального стандарта оценки «Подходы и методы оценки (ФСО V)":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При проведении оценки используются сравнительный, доходный и затратный подходы.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каждого из подходов к оценке используются различные методы оценки.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может применять методы оценки, не указанные в федеральных стандартах оценки,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получения наиболее достоверных результатов оценки. </w:t>
      </w:r>
    </w:p>
    <w:p>
      <w:pPr>
        <w:autoSpaceDN w:val="0"/>
        <w:autoSpaceDE w:val="0"/>
        <w:widowControl/>
        <w:spacing w:line="316" w:lineRule="exact" w:before="0" w:after="0"/>
        <w:ind w:left="0" w:right="24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В процессе оценки оценщик рассматривает возможность применения всех подходов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оценке, в том числе для подтверждения выводов, полученных при применении других подходов.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выборе подходов и методов оценки оценщику необходимо учитывать специфику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оценки, цели оценки, вид стоимости, достаточность и достоверность исходной информации,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допущения и ограничения оценки. Ни один из подходов и методов оценки не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универсальным, применимым во всех случаях оценки. В то же время оценщик может использовать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один подход и метод оценки, если применение данного подхода и метода оценки приводит к </w:t>
      </w:r>
    </w:p>
    <w:p>
      <w:pPr>
        <w:autoSpaceDN w:val="0"/>
        <w:autoSpaceDE w:val="0"/>
        <w:widowControl/>
        <w:spacing w:line="197" w:lineRule="auto" w:before="10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наиболее достоверному результату оценки с учетом доступной информации, допущений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ограничений проводимой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При применении нескольких подходов и методов оценщик использует процедуру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согласования их результатов. В случае существенных расхождений результатов подходов и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методов оценки оценщик анализирует возможные причины расхождений, устанавливает подходы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методы, позволяющие получить наиболее достоверные результаты с учетом факторов,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указанных в пункте 2. Не следует применять среднюю арифметическую величину или иные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математические правила взвешивания в случае существенных расхождений промежуточных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результатов методов и подходов оценки без такого анализа. В результате анализа оценщик может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обоснованно выбрать один из полученных результатов, полученных при использовании методов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подходов, для определения итоговой стоимости объекта оценки. </w:t>
      </w:r>
    </w:p>
    <w:p>
      <w:pPr>
        <w:autoSpaceDN w:val="0"/>
        <w:tabs>
          <w:tab w:pos="710" w:val="left"/>
        </w:tabs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 вправе самостоятельно определять в рамках каждого из подходов к исследованию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методы оценки. </w:t>
      </w:r>
    </w:p>
    <w:p>
      <w:pPr>
        <w:autoSpaceDN w:val="0"/>
        <w:autoSpaceDE w:val="0"/>
        <w:widowControl/>
        <w:spacing w:line="266" w:lineRule="exact" w:before="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Выбор (отказ) того или иного подхода осуществляется исходя из специфики оцениваемого </w:t>
      </w:r>
    </w:p>
    <w:p>
      <w:pPr>
        <w:autoSpaceDN w:val="0"/>
        <w:autoSpaceDE w:val="0"/>
        <w:widowControl/>
        <w:spacing w:line="264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имущества, особенностей конкретного рынка и состава сведений, содержащихся в собранной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информации. </w:t>
      </w:r>
    </w:p>
    <w:p>
      <w:pPr>
        <w:autoSpaceDN w:val="0"/>
        <w:tabs>
          <w:tab w:pos="710" w:val="left"/>
          <w:tab w:pos="3258" w:val="left"/>
        </w:tabs>
        <w:autoSpaceDE w:val="0"/>
        <w:widowControl/>
        <w:spacing w:line="278" w:lineRule="exact" w:before="274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13.4. Затратный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затратного подхода конкретный метод проведения оценки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применяется с учетом ожиданий относительно перспектив деятельности организации (как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действующая или как ликвидируемая). </w:t>
      </w:r>
    </w:p>
    <w:p>
      <w:pPr>
        <w:autoSpaceDN w:val="0"/>
        <w:autoSpaceDE w:val="0"/>
        <w:widowControl/>
        <w:spacing w:line="320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затратного подхода оценщик учитывает следующие положения: </w:t>
      </w:r>
    </w:p>
    <w:p>
      <w:pPr>
        <w:autoSpaceDN w:val="0"/>
        <w:autoSpaceDE w:val="0"/>
        <w:widowControl/>
        <w:spacing w:line="320" w:lineRule="exact" w:before="15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затратный подход к оценке объекта оценки целесообразно применять: </w:t>
      </w:r>
    </w:p>
    <w:p>
      <w:pPr>
        <w:autoSpaceDN w:val="0"/>
        <w:tabs>
          <w:tab w:pos="722" w:val="left"/>
        </w:tabs>
        <w:autoSpaceDE w:val="0"/>
        <w:widowControl/>
        <w:spacing w:line="284" w:lineRule="exact" w:before="206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стоимости объектов-оценки, созданных самими правообладателями;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недостаточности данных, необходимых для применения сравнительного и доходного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подходов;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стоимость объекта оценки определяется затратным подходом, когда существует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его воссоздания путем определения затрат на его воспроизводство или замещение; </w:t>
      </w:r>
    </w:p>
    <w:p>
      <w:pPr>
        <w:autoSpaceDN w:val="0"/>
        <w:tabs>
          <w:tab w:pos="710" w:val="left"/>
        </w:tabs>
        <w:autoSpaceDE w:val="0"/>
        <w:widowControl/>
        <w:spacing w:line="294" w:lineRule="exact" w:before="16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входные переменные, которые учитываются при применении затратного подхода к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оценке нематериальных активов, включают: </w:t>
      </w:r>
    </w:p>
    <w:p>
      <w:pPr>
        <w:autoSpaceDN w:val="0"/>
        <w:tabs>
          <w:tab w:pos="1430" w:val="left"/>
        </w:tabs>
        <w:autoSpaceDE w:val="0"/>
        <w:widowControl/>
        <w:spacing w:line="284" w:lineRule="exact" w:before="19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затраты на разработку или приобретение идентичного объекта или объекта с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аналогичными полезными свойствами;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любые корректировки затрат на разработку или приобретение, необходимые для </w:t>
      </w:r>
    </w:p>
    <w:p>
      <w:pPr>
        <w:autoSpaceDN w:val="0"/>
        <w:tabs>
          <w:tab w:pos="1430" w:val="left"/>
        </w:tabs>
        <w:autoSpaceDE w:val="0"/>
        <w:widowControl/>
        <w:spacing w:line="328" w:lineRule="exact" w:before="0" w:after="0"/>
        <w:ind w:left="107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отражения специфических характеристик объекта оценки, в том числе его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функционального и экономического устареваний;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экономическая выгода разработчика объекта оценки;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затраты на разработку объекта оценки могут включать расходы по оплате труда и иные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виды вознаграждения, оплату материалов, накладных расходов, а также юридические издержки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правовой охране, налоги, предпринимательскую прибыль в период разработки объекта оценки; </w:t>
      </w:r>
    </w:p>
    <w:p>
      <w:pPr>
        <w:autoSpaceDN w:val="0"/>
        <w:autoSpaceDE w:val="0"/>
        <w:widowControl/>
        <w:spacing w:line="332" w:lineRule="exact" w:before="17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случае использования исторических (первоначальных) затрат на создание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необходимо будет привести их к текущей дате с помощью наиболее подходящего индекса; </w:t>
      </w:r>
    </w:p>
    <w:p>
      <w:pPr>
        <w:autoSpaceDN w:val="0"/>
        <w:autoSpaceDE w:val="0"/>
        <w:widowControl/>
        <w:spacing w:line="197" w:lineRule="auto" w:before="4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98" w:lineRule="exact" w:before="0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е) при определении затрат на воспроизводство объекта оценки оценщик определяет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воссоздания новой точной копии объекта оценки. Затраты в этом случае определяются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исходя из действующих на дату оценки цен на услуги с использованием знаний, опыта и навыков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авторов-разработчиков (при наличии) объекта оценки;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ж) при определении затрат на создание объекта, имеющего аналогичные полезные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свойства, оценщик определяет стоимость создания объекта оценки той же полезности,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являющегося аналогом объекта оценки по функциональному назначению и вариантам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использования. В этом случае затраты должны быть определены на основе действующих на дату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цен на сырье, товары, услуги, энергоносители и стоимости рабочей силы в том регионе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(или) в той отрасли экономики, в которых создаются объекты, аналогичные объекту оценки.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данного подхода используются следующие методы: </w:t>
      </w:r>
    </w:p>
    <w:p>
      <w:pPr>
        <w:autoSpaceDN w:val="0"/>
        <w:autoSpaceDE w:val="0"/>
        <w:widowControl/>
        <w:spacing w:line="316" w:lineRule="exact" w:before="202" w:after="0"/>
        <w:ind w:left="71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суммирования фактических затрат;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2)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расчета стоимости замещения;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3)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создания стоимости;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4)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выигрыша в себестоимости.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7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и другие виды активов, НМА могут быть подвержены функциональному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экономическому устареванию (обесценению).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Функциональное обесценение можно разделить на два типа: </w:t>
      </w:r>
    </w:p>
    <w:p>
      <w:pPr>
        <w:autoSpaceDN w:val="0"/>
        <w:autoSpaceDE w:val="0"/>
        <w:widowControl/>
        <w:spacing w:line="336" w:lineRule="exact" w:before="2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(более характерные для метода воспроизводства);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расходы (характерные для обоих методов).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затраты на создание связаны с неэффективными расходами, понесенными в </w:t>
      </w:r>
    </w:p>
    <w:p>
      <w:pPr>
        <w:autoSpaceDN w:val="0"/>
        <w:autoSpaceDE w:val="0"/>
        <w:widowControl/>
        <w:spacing w:line="264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прошлом, или с изменением технологии, которая теперь позволяет создавать такие активы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дешевле. Например, если Оценщик получает сведения, что ПО содержит 1000 строк кода, то эти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данные можно соотнести с рынком, чтобы определить адекватность затрат и провести тест на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 функционального обесценения.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Избыточные операционные затраты связаны с различиями в затратах на использование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оцениваемого НМА и современного НМА с аналогичными характеристиками.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Метод суммирования фактических затрат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чаще применяется для определения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балансовой стоимости нематериального актива для целей постановки их на бухгалтерский учет.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Обязательным условием использования данного метода является наличие первичных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бухгалтерских документов, подтверждающих фактические затраты по каждому отдельному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объекту учета. </w:t>
      </w:r>
    </w:p>
    <w:p>
      <w:pPr>
        <w:autoSpaceDN w:val="0"/>
        <w:autoSpaceDE w:val="0"/>
        <w:widowControl/>
        <w:spacing w:line="320" w:lineRule="exact" w:before="196" w:after="0"/>
        <w:ind w:left="71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Метод расчета стоимости замещения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основывается на изучении возможностей инвестора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приобретении альтернативных объектов нематериального характера предполагает, что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покупатель, проявляя должную осведомленность и благоразумие, никогда не заплатит за объект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больше, чем стоит аналогичный объект. Этот метод широко используется при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программного обеспечения для ЭВМ и специализированного программного обеспечения. </w:t>
      </w:r>
    </w:p>
    <w:p>
      <w:pPr>
        <w:autoSpaceDN w:val="0"/>
        <w:autoSpaceDE w:val="0"/>
        <w:widowControl/>
        <w:spacing w:line="197" w:lineRule="auto" w:before="4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36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18" w:lineRule="exact" w:before="4" w:after="0"/>
        <w:ind w:left="0" w:right="22" w:firstLine="71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Метод создания стоимости.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Сущность метода создания стоимости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использовании при оценке затрат преимущественно на разработку оцениваемого объекта, включая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опытно-промышленное освоение и на получение правовой охраны. При этом необходимо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 материальные затраты — сырье, материалы, топливо, энергию, амортизацию основных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фондов, заработную плату, отчисления на социальные нужды, затраты на получение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поддержание правовой охраны. По методу создания стоимости могут быть оценены вновь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разработанные виды продукции (товаров) и (или) технологические процессы, как имеющие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правовую охрану, так и не имеющие результаты НИОКР. Вместе с тем, следует учитывать, что все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методы, основанные на использовании величины затрат на проведение НИОКР,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разработкой оцениваемого объекта, могут оказаться мало приемлемыми или неприемлемыми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вообще ввиду того, что между величиной индивидуальных затрат на проведение НИОКР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прибылью от коммерческого использования их результатов — технологии нет прямой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зависимости. Метод создания стоимости обычно применяется в случаях, когда другие методы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результатов интеллектуальной деятельности не применимы. </w:t>
      </w:r>
    </w:p>
    <w:p>
      <w:pPr>
        <w:autoSpaceDN w:val="0"/>
        <w:autoSpaceDE w:val="0"/>
        <w:widowControl/>
        <w:spacing w:line="316" w:lineRule="exact" w:before="216" w:after="18"/>
        <w:ind w:left="0" w:right="20" w:firstLine="71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Метод выигрыша в себестоимости.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данного метода исходят из того,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что при условии постоянной цены товара, производимого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дополнительную прибыль предприятие получает за счет снижения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себестоимости на новый товар, при производстве которого используется «ноу-хау». При этом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калькуляциях используются данные по следующим статьям затрат: сырье, материалы,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комплектующие изделия, расходы на содержание и эксплуатацию оборудования; амортизация;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топливо и другие виды энергии; заработная плата, ЕСН, общепроизводственные и общезаводские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расходы. Дополнительная прибыль на единицу продукции по методу «Выигрыш в себестоимости»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определяется как разница между отпускной ценой (оптовой ценой, франко-завод-изготовитель)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себестоимостью. Далее, зная объем производства товара с использованием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нематериального актива, можно определить дополнительную прибыль от этого использования.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Этот метод применим лишь в тех случаях, когда речь идет о двух близких по своим технико-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>
        <w:trPr>
          <w:trHeight w:hRule="exact" w:val="292"/>
        </w:trPr>
        <w:tc>
          <w:tcPr>
            <w:tcW w:type="dxa" w:w="17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экономическим 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показателям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видах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или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двух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способах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</w:tr>
    </w:tbl>
    <w:p>
      <w:pPr>
        <w:autoSpaceDN w:val="0"/>
        <w:autoSpaceDE w:val="0"/>
        <w:widowControl/>
        <w:spacing w:line="320" w:lineRule="exact" w:before="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(технологических процессах) одной и той же продукции. </w:t>
      </w:r>
    </w:p>
    <w:p>
      <w:pPr>
        <w:autoSpaceDN w:val="0"/>
        <w:autoSpaceDE w:val="0"/>
        <w:widowControl/>
        <w:spacing w:line="326" w:lineRule="exact" w:before="17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является универсальным, как два других общепринятых подхода.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Многие важнейшие факторы, влияющие на стоимость актива, не имеют прямого отражения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методологии затратного подхода и должны рассматриваться вне основного процесса оценки: </w:t>
      </w:r>
    </w:p>
    <w:p>
      <w:pPr>
        <w:autoSpaceDN w:val="0"/>
        <w:autoSpaceDE w:val="0"/>
        <w:widowControl/>
        <w:spacing w:line="318" w:lineRule="exact" w:before="184" w:after="0"/>
        <w:ind w:left="0" w:right="28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подразумевает прямого учета экономических выгод, связанных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наличием прав на объект оценки. Эти выгоды определяются спросом на товар или услугу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возможной прибылью. </w:t>
      </w:r>
    </w:p>
    <w:p>
      <w:pPr>
        <w:autoSpaceDN w:val="0"/>
        <w:autoSpaceDE w:val="0"/>
        <w:widowControl/>
        <w:spacing w:line="318" w:lineRule="exact" w:before="21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Затратный подход не учитывает информацию об изменении экономических выгод. НМА,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 от которых растут, могут оцениваться намного выше, чем те, выгоды от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которых сокращаются. Эти изменения зависят от социальных условий, демографической ситуации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конкурентных сил, однако затратный подход не отражает влияния этих факторов на стоимость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собственности. </w:t>
      </w:r>
    </w:p>
    <w:p>
      <w:pPr>
        <w:autoSpaceDN w:val="0"/>
        <w:autoSpaceDE w:val="0"/>
        <w:widowControl/>
        <w:spacing w:line="197" w:lineRule="auto" w:before="10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37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Еще одним фактором, который не учитывается напрямую, но значительно влияет на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стоимость, является период действия экономических выгод. Остаточный экономический срок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службы объекта – важнейший компонент оценки.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рамках затратного подхода риск, связанный с получением ожидаемых экономических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выгод, напрямую не учитывается. Однако высокая степень риска делает прогнозы более </w:t>
      </w:r>
    </w:p>
    <w:p>
      <w:pPr>
        <w:autoSpaceDN w:val="0"/>
        <w:autoSpaceDE w:val="0"/>
        <w:widowControl/>
        <w:spacing w:line="322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осторожными, соответственно, снижается и оценочная стоимость НМА. </w:t>
      </w:r>
    </w:p>
    <w:p>
      <w:pPr>
        <w:autoSpaceDN w:val="0"/>
        <w:autoSpaceDE w:val="0"/>
        <w:widowControl/>
        <w:spacing w:line="266" w:lineRule="exact" w:before="236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Корректировки, необходимые для учета устаревания актива, должны быть рассчитаны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отдельно, и выразить их количественно зачастую бывает трудно.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владельца НМА обычно затрудняют или даже делают невозможным воссоздание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технологии для ее свободного использования в коммерческих целях. Это обусловливает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необходимость привлечения дополнительных инвестиций и других ресурсов, а также задержку во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времени и общий риск, связанный с проектом. </w:t>
      </w:r>
    </w:p>
    <w:p>
      <w:pPr>
        <w:autoSpaceDN w:val="0"/>
        <w:autoSpaceDE w:val="0"/>
        <w:widowControl/>
        <w:spacing w:line="266" w:lineRule="exact" w:before="25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тот факт, что основной недостаток затратного подхода заключается в том, что он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 подразумевает точного и прямого учета экономических выгод и предполагаемого периода их </w:t>
      </w:r>
    </w:p>
    <w:p>
      <w:pPr>
        <w:autoSpaceDN w:val="0"/>
        <w:autoSpaceDE w:val="0"/>
        <w:widowControl/>
        <w:spacing w:line="320" w:lineRule="exact" w:before="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действия, Оценщик счел не возможным применить затратный подход для расчета рыночной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объекта оценки. </w:t>
      </w:r>
    </w:p>
    <w:p>
      <w:pPr>
        <w:autoSpaceDN w:val="0"/>
        <w:autoSpaceDE w:val="0"/>
        <w:widowControl/>
        <w:spacing w:line="332" w:lineRule="exact" w:before="20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13.5. Сравнительный подход к оценке </w:t>
      </w:r>
    </w:p>
    <w:p>
      <w:pPr>
        <w:autoSpaceDN w:val="0"/>
        <w:tabs>
          <w:tab w:pos="428" w:val="left"/>
        </w:tabs>
        <w:autoSpaceDE w:val="0"/>
        <w:widowControl/>
        <w:spacing w:line="284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сравнительного подхода к оценке объектов оценки стоимость определяется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оценщиком с использованием следующей информации: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 условиях сделок, а также о предложениях на продажу и покупку объектов-аналогов на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рынке по состоянию на дату оценки или по состоянию на дату, предшествующую дате оценки,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если по состоянию на дату оценки такая информация доступна;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 влиянии ценообразующих факторов объектов-аналогов на их рыночную стоимость. </w:t>
      </w:r>
    </w:p>
    <w:p>
      <w:pPr>
        <w:autoSpaceDN w:val="0"/>
        <w:autoSpaceDE w:val="0"/>
        <w:widowControl/>
        <w:spacing w:line="276" w:lineRule="exact" w:before="276" w:after="0"/>
        <w:ind w:left="0" w:right="22" w:firstLine="428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влияния ценообразующих факторов объектов-аналогов на их рыночную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может проводиться с применением ценовых мультипликаторов - расчетных величин,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отражающих соотношение между стоимостью объекта-аналога и его ценообразующим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параметром при условии доказанной значимости последнего. </w:t>
      </w:r>
    </w:p>
    <w:p>
      <w:pPr>
        <w:autoSpaceDN w:val="0"/>
        <w:tabs>
          <w:tab w:pos="428" w:val="left"/>
        </w:tabs>
        <w:autoSpaceDE w:val="0"/>
        <w:widowControl/>
        <w:spacing w:line="274" w:lineRule="exact" w:before="278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ряде случаев цены предложений объектов-аналогов могут быть обоснованно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скорректированы. </w:t>
      </w:r>
    </w:p>
    <w:p>
      <w:pPr>
        <w:autoSpaceDN w:val="0"/>
        <w:autoSpaceDE w:val="0"/>
        <w:widowControl/>
        <w:spacing w:line="266" w:lineRule="exact" w:before="0" w:after="0"/>
        <w:ind w:left="4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сравнения объекта оценки с другими объектами, с которыми были совершены сделки или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представлены на рынке для их совершения, обычно используются следующие элементы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сравнения: </w:t>
      </w:r>
    </w:p>
    <w:p>
      <w:pPr>
        <w:autoSpaceDN w:val="0"/>
        <w:tabs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режим предоставленной правовой охраны, включая переданные права и сроки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интеллектуальной собственности; </w:t>
      </w:r>
    </w:p>
    <w:p>
      <w:pPr>
        <w:autoSpaceDN w:val="0"/>
        <w:tabs>
          <w:tab w:pos="428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условия финансирования сделок с нематериальными активами, включая соотношение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собственных и заемных средств;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изменение цен на нематериальные активы за период с даты совершения сделки с объектом-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аналогом до даты проведения оценки;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отрасль, в которой были или будут использованы нематериальные активы;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территория, на которую распространяется действие предоставляемых (оцениваемых) прав;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функциональные, технологические, экономические характеристики выбранных объектов-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аналогов, аналогичные соответствующим характеристикам объекта оценки; </w:t>
      </w:r>
    </w:p>
    <w:p>
      <w:pPr>
        <w:autoSpaceDN w:val="0"/>
        <w:autoSpaceDE w:val="0"/>
        <w:widowControl/>
        <w:spacing w:line="197" w:lineRule="auto" w:before="38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38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tabs>
          <w:tab w:pos="360" w:val="left"/>
          <w:tab w:pos="428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спрос на продукцию, которая может производиться или реализовываться с использованием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объекта оценки; </w:t>
      </w:r>
      <w:r>
        <w:br/>
      </w:r>
      <w:r>
        <w:tab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использования объекта оценки, в течение которого объект оценки способен приносить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выгоды;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другие характеристики нематериального актива, влияющие на стоимость. </w:t>
      </w:r>
    </w:p>
    <w:p>
      <w:pPr>
        <w:autoSpaceDN w:val="0"/>
        <w:autoSpaceDE w:val="0"/>
        <w:widowControl/>
        <w:spacing w:line="276" w:lineRule="exact" w:before="0" w:after="0"/>
        <w:ind w:left="0" w:right="2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Основная идея сравнительного подхода заключается именно в прямом сравнении оцениваемого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с аналогичными активами на рынке. Основная сложность в применении данного подхода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состоит в недоступности рыночной информации. Открытого рынка НМА не существует (за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исключением ПО), а публикуемые данные о сделках часто оказываются фрагментарными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неполными. Наиболее сложный аспект применения сравнительного подхода заключается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обеспечении сопоставимости сравниваемых НМА. Даже при наличии доступной информации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стоимости тех или иных НМА на рынке, она не будет иметь никакой ценности, если данные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нельзя сопоставить с оцениваемым НМА.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изучив предложения на рынке Оценщик не имеет достоверной информации по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сделкам на вторичном рынке с программой для ЭВМ «tNavigator», аналогичными оцениваемому,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отвечающими приведенным выше условиям. Все это предопределяет невозможность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применения рыночного подхода для оценки во избежание получения некорректного результата.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настоящем отчете Оценщик решил отказаться от применения сравнительного подхода. </w:t>
      </w:r>
    </w:p>
    <w:p>
      <w:pPr>
        <w:autoSpaceDN w:val="0"/>
        <w:tabs>
          <w:tab w:pos="680" w:val="left"/>
          <w:tab w:pos="3304" w:val="left"/>
        </w:tabs>
        <w:autoSpaceDE w:val="0"/>
        <w:widowControl/>
        <w:spacing w:line="280" w:lineRule="exact" w:before="216" w:after="0"/>
        <w:ind w:left="0" w:right="0" w:firstLine="0"/>
        <w:jc w:val="left"/>
      </w:pPr>
      <w:r>
        <w:tab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13.6. Доходный подход к оценке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предусматривает дисконтирование денежных потоков (будущих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экономических выгод), генерируемых объектом оценки, или капитализацию годового чистого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дохода (выгоды, эффект) от объекта оценки, включая доходы от возможного возмездного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предоставления другим лицам доступа к экономическим выгодам от использования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оценки. </w:t>
      </w:r>
    </w:p>
    <w:p>
      <w:pPr>
        <w:autoSpaceDN w:val="0"/>
        <w:tabs>
          <w:tab w:pos="680" w:val="left"/>
        </w:tabs>
        <w:autoSpaceDE w:val="0"/>
        <w:widowControl/>
        <w:spacing w:line="276" w:lineRule="exact" w:before="4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применении доходного подхода оценщик учитывает следующие положения: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а) оценщик определяет будущие денежные потоки, формируемые из экономической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выгоды, генерируемой объектом оценки. В общем случае выгода может образовываться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экономии на издержках, освобождения от роялти, преимуществ в прибыли, реальных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лицензионных платежей, платежей по роялти, избыточного дохода или других выгод;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б) период, в течение которого объект оценки способен приносить экономические выгоды,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как правило, ограничивается сроком действия правовой охраны или сроком действия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лицензионного договора. Продолжительность срока полезного использования объекта оценки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может быть сокращена исходя из экономической нецелесообразности дальнейшего 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в) ставка дисконтирования рассчитывается одним из следующих методов: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анализа рыночных показателей, отражающих доходность аналогичных объекту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объектов;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на основе средневзвешенной стоимости капитала организации (бизнеса), использующей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 кумулятивным способом, основанным на определении безрисковой ставки использования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денежных средств, ожидаемого уровня инфляции и размера премиальной надбавки за риски,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связанные с инвестицией в объект оценки;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г) ставка капитализации может использоваться при применении оценочных коэффициентов,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таких как мультипликаторы "цена/прибыль", или при корректировке ставки дисконтирования с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целью отражения любого будущего роста денежного потока от использования объекта оценки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постпрогнозном периоде;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д) в дополнение к капитализации дохода от использования нематериального актива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учитывать любые доступные для правообладателя объекта оценки налоговые выгоды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преимущества, включая эффекты от амортизации оцениваемого нематериального актива, </w:t>
      </w:r>
    </w:p>
    <w:p>
      <w:pPr>
        <w:autoSpaceDN w:val="0"/>
        <w:autoSpaceDE w:val="0"/>
        <w:widowControl/>
        <w:spacing w:line="197" w:lineRule="auto" w:before="47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39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нормам действующего законодательства, и ввести в денежные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соответствующие корректировки. </w:t>
      </w:r>
    </w:p>
    <w:p>
      <w:pPr>
        <w:autoSpaceDN w:val="0"/>
        <w:autoSpaceDE w:val="0"/>
        <w:widowControl/>
        <w:spacing w:line="266" w:lineRule="exact" w:before="0" w:after="0"/>
        <w:ind w:left="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Таким образом, любой из методов доходного подхода в значительной степени опирается на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прогнозную финансовую информацию (ПФИ). ПФИ включает в себя следующие типы прогнозных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финансовых данных: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выручки;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валовой прибыли, операционной прибыли или чистой прибыли;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 прибыли до и после налогообложения;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прогнозные денежные потоки до и после уплаты процентов и/или налогов;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прогнозный срок полезного использования.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основном при оценке НМА применяются различные вариации следующих четырех методов в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рамках доходного подхода (русскоязычные названия приведены лишь для удобства пользователей </w:t>
      </w:r>
    </w:p>
    <w:p>
      <w:pPr>
        <w:autoSpaceDN w:val="0"/>
        <w:autoSpaceDE w:val="0"/>
        <w:widowControl/>
        <w:spacing w:line="28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имеют второстепенное значение по отношению к англоязычным оригинальным названиям,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последние приведены согласно терминологии МСО): </w:t>
      </w:r>
    </w:p>
    <w:p>
      <w:pPr>
        <w:autoSpaceDN w:val="0"/>
        <w:tabs>
          <w:tab w:pos="1400" w:val="left"/>
        </w:tabs>
        <w:autoSpaceDE w:val="0"/>
        <w:widowControl/>
        <w:spacing w:line="288" w:lineRule="exact" w:before="6" w:after="0"/>
        <w:ind w:left="10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оценки добавочного дохода, или экономии затрат (Premium Profits Method,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Incremental Income Method); </w:t>
      </w:r>
    </w:p>
    <w:p>
      <w:pPr>
        <w:autoSpaceDN w:val="0"/>
        <w:autoSpaceDE w:val="0"/>
        <w:widowControl/>
        <w:spacing w:line="294" w:lineRule="exact" w:before="26" w:after="0"/>
        <w:ind w:left="1040" w:right="230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NPV проекта;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остатка для НМА (Excess Earnings Method);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освобождения от роялти (Relief-From-Royalty Method). </w:t>
      </w:r>
    </w:p>
    <w:p>
      <w:pPr>
        <w:autoSpaceDN w:val="0"/>
        <w:tabs>
          <w:tab w:pos="680" w:val="left"/>
        </w:tabs>
        <w:autoSpaceDE w:val="0"/>
        <w:widowControl/>
        <w:spacing w:line="27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Каждый из этих методов основан на дисконтировании прогнозных денежных потоков, или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(в простых случаях) – применении оценочных мультипликаторов.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Однако во многих случаях выбор применимого метода оценки может быть обусловлен не только </w:t>
      </w:r>
    </w:p>
    <w:p>
      <w:pPr>
        <w:autoSpaceDN w:val="0"/>
        <w:autoSpaceDE w:val="0"/>
        <w:widowControl/>
        <w:spacing w:line="28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его наибольшей пригодностью для поставленной задачи, но и степенью обеспеченности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исходными данными приемлемого качества, необходимыми для выполнения оценки. </w:t>
      </w:r>
    </w:p>
    <w:p>
      <w:pPr>
        <w:autoSpaceDN w:val="0"/>
        <w:autoSpaceDE w:val="0"/>
        <w:widowControl/>
        <w:spacing w:line="276" w:lineRule="exact" w:before="44" w:after="0"/>
        <w:ind w:left="0" w:right="20" w:firstLine="68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имеющихся данных в распоряжении Оценщика, оценщик пришел к выводу 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возможности применения в данной работе доходного подхода для расчета стоимости объекта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оценки методом остатка для НМА (МЕЕМ). </w:t>
      </w:r>
    </w:p>
    <w:p>
      <w:pPr>
        <w:autoSpaceDN w:val="0"/>
        <w:autoSpaceDE w:val="0"/>
        <w:widowControl/>
        <w:spacing w:line="332" w:lineRule="exact" w:before="44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13.7. РАСЧЕТ РЫНОЧНОЙ СТОИМОСТИ ОБЪЕКТА ОЦЕНКИ ДОХОДНЫМ </w:t>
      </w: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ПОДХОДОМ </w:t>
      </w: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Классификация НМА по типам и основным характеристикам: </w:t>
      </w:r>
    </w:p>
    <w:p>
      <w:pPr>
        <w:autoSpaceDN w:val="0"/>
        <w:autoSpaceDE w:val="0"/>
        <w:widowControl/>
        <w:spacing w:line="266" w:lineRule="exact" w:before="23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учетом результатов анализа типовых активов, подлежавших оценке, а также опыта </w:t>
      </w:r>
    </w:p>
    <w:p>
      <w:pPr>
        <w:autoSpaceDN w:val="0"/>
        <w:autoSpaceDE w:val="0"/>
        <w:widowControl/>
        <w:spacing w:line="320" w:lineRule="exact" w:before="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оценочного сообщества, были выделены основные категории НМА: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Технологические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изобретения, полезные модели, промышленные образцы;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секреты производства (ноу-хау); </w:t>
      </w:r>
    </w:p>
    <w:p>
      <w:pPr>
        <w:autoSpaceDN w:val="0"/>
        <w:autoSpaceDE w:val="0"/>
        <w:widowControl/>
        <w:spacing w:line="320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топологии интегральных микросхем; </w:t>
      </w:r>
    </w:p>
    <w:p>
      <w:pPr>
        <w:autoSpaceDN w:val="0"/>
        <w:autoSpaceDE w:val="0"/>
        <w:widowControl/>
        <w:spacing w:line="322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конструкторская и техническая документация; </w:t>
      </w:r>
    </w:p>
    <w:p>
      <w:pPr>
        <w:autoSpaceDN w:val="0"/>
        <w:autoSpaceDE w:val="0"/>
        <w:widowControl/>
        <w:spacing w:line="322" w:lineRule="exact" w:before="14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технические условия; </w:t>
      </w:r>
    </w:p>
    <w:p>
      <w:pPr>
        <w:autoSpaceDN w:val="0"/>
        <w:autoSpaceDE w:val="0"/>
        <w:widowControl/>
        <w:spacing w:line="320" w:lineRule="exact" w:before="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учебно-методические материалы. </w:t>
      </w:r>
    </w:p>
    <w:p>
      <w:pPr>
        <w:autoSpaceDN w:val="0"/>
        <w:autoSpaceDE w:val="0"/>
        <w:widowControl/>
        <w:spacing w:line="322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2. Маркетинговые НМА: </w:t>
      </w:r>
    </w:p>
    <w:p>
      <w:pPr>
        <w:autoSpaceDN w:val="0"/>
        <w:autoSpaceDE w:val="0"/>
        <w:widowControl/>
        <w:spacing w:line="320" w:lineRule="exact" w:before="212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товарные знаки; </w:t>
      </w:r>
    </w:p>
    <w:p>
      <w:pPr>
        <w:autoSpaceDN w:val="0"/>
        <w:autoSpaceDE w:val="0"/>
        <w:widowControl/>
        <w:spacing w:line="320" w:lineRule="exact" w:before="16" w:after="0"/>
        <w:ind w:left="107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доменные имена. </w:t>
      </w:r>
    </w:p>
    <w:p>
      <w:pPr>
        <w:autoSpaceDN w:val="0"/>
        <w:autoSpaceDE w:val="0"/>
        <w:widowControl/>
        <w:spacing w:line="197" w:lineRule="auto" w:before="3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40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22" w:lineRule="exact" w:before="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НМА, связанные с обработкой данных: </w:t>
      </w:r>
    </w:p>
    <w:p>
      <w:pPr>
        <w:autoSpaceDN w:val="0"/>
        <w:autoSpaceDE w:val="0"/>
        <w:widowControl/>
        <w:spacing w:line="336" w:lineRule="exact" w:before="196" w:after="0"/>
        <w:ind w:left="1070" w:right="576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программное обеспечение;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базы данных. </w:t>
      </w:r>
    </w:p>
    <w:p>
      <w:pPr>
        <w:autoSpaceDN w:val="0"/>
        <w:autoSpaceDE w:val="0"/>
        <w:widowControl/>
        <w:spacing w:line="320" w:lineRule="exact" w:before="198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Контрактные НМА: </w:t>
      </w:r>
    </w:p>
    <w:p>
      <w:pPr>
        <w:autoSpaceDN w:val="0"/>
        <w:autoSpaceDE w:val="0"/>
        <w:widowControl/>
        <w:spacing w:line="344" w:lineRule="exact" w:before="176" w:after="0"/>
        <w:ind w:left="1070" w:right="432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контракты на условиях лучше рыночных;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лицензионные договоры;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договоры франчайзинга.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Каждая из представленных выше категорий активов характеризуется своим набором факторов,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влияющих на их стоимость. Вместе с тем существуют общие для всех НМА параметры,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оказывающие наиболее существенное влияние на их стоимость: </w:t>
      </w:r>
    </w:p>
    <w:p>
      <w:pPr>
        <w:autoSpaceDN w:val="0"/>
        <w:autoSpaceDE w:val="0"/>
        <w:widowControl/>
        <w:spacing w:line="316" w:lineRule="exact" w:before="202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1. Срок жизни актива – период, в течение которого владелец может рассчитывать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получение экономических выгод от его использования; является одним из ключевых параметров,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характеризующих нематериальный актив, и может определяться: </w:t>
      </w:r>
    </w:p>
    <w:p>
      <w:pPr>
        <w:autoSpaceDN w:val="0"/>
        <w:tabs>
          <w:tab w:pos="710" w:val="left"/>
        </w:tabs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юридическим сроком жизни – конкретными характеристиками прав на актив,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срок действия исключительного права или контракта). </w:t>
      </w:r>
    </w:p>
    <w:p>
      <w:pPr>
        <w:autoSpaceDN w:val="0"/>
        <w:autoSpaceDE w:val="0"/>
        <w:widowControl/>
        <w:spacing w:line="316" w:lineRule="exact" w:before="204" w:after="0"/>
        <w:ind w:left="0" w:right="0" w:firstLine="71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экономическим сроком жизни – многие области применения технологий характеризуются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технологическими циклами – периодами, в течение которых технологии устаревают и </w:t>
      </w:r>
    </w:p>
    <w:p>
      <w:pPr>
        <w:autoSpaceDN w:val="0"/>
        <w:autoSpaceDE w:val="0"/>
        <w:widowControl/>
        <w:spacing w:line="266" w:lineRule="exact" w:before="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вытесняются новыми, более современными; для одних отраслей такие циклы четко определены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компьютерные технологии, достаточно четко подчиняются закону Мура), а для других </w:t>
      </w:r>
    </w:p>
    <w:p>
      <w:pPr>
        <w:autoSpaceDN w:val="0"/>
        <w:autoSpaceDE w:val="0"/>
        <w:widowControl/>
        <w:spacing w:line="310" w:lineRule="exact" w:before="1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эта величина должна быть предметом тщательного анализа в каждом конкретном случае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(например, в медицине разброс сроков жизни технологий может быть очень большим).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13-1. Срок полезного использования программ для ЭВМ.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49240" cy="82803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8280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42" w:after="0"/>
        <w:ind w:left="12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26050" cy="4762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4" w:lineRule="exact" w:before="23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Источник информации: Справочник Е.Е.Яскевича СРД-31 ноябрь 2022 года стр.45 </w:t>
      </w:r>
    </w:p>
    <w:p>
      <w:pPr>
        <w:autoSpaceDN w:val="0"/>
        <w:autoSpaceDE w:val="0"/>
        <w:widowControl/>
        <w:spacing w:line="316" w:lineRule="exact" w:before="198" w:after="0"/>
        <w:ind w:left="0" w:right="0" w:firstLine="125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2. Легкость и возможность воспроизводства/воссоздания – данный фактор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оказывать существенное влияние на выбор основного метода оценки – в случае, когда НМА легко </w:t>
      </w:r>
    </w:p>
    <w:p>
      <w:pPr>
        <w:autoSpaceDN w:val="0"/>
        <w:autoSpaceDE w:val="0"/>
        <w:widowControl/>
        <w:spacing w:line="266" w:lineRule="exact" w:before="3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воспроизвести, разумный инвестор не заплатит за него цену, превышающую затраты,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необходимые для его воссоздания. При анализе легкости воспроизводства необходимо учитывать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следующее: </w:t>
      </w:r>
    </w:p>
    <w:p>
      <w:pPr>
        <w:autoSpaceDN w:val="0"/>
        <w:autoSpaceDE w:val="0"/>
        <w:widowControl/>
        <w:spacing w:line="320" w:lineRule="exact" w:before="200" w:after="0"/>
        <w:ind w:left="7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Мнение о «легкости» воссоздания (с точки зрения сроков и/или финансовых затрат) в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большинстве случаев является субъективным и определяется экспертно. Косвенными </w:t>
      </w:r>
    </w:p>
    <w:p>
      <w:pPr>
        <w:autoSpaceDN w:val="0"/>
        <w:autoSpaceDE w:val="0"/>
        <w:widowControl/>
        <w:spacing w:line="197" w:lineRule="auto" w:before="244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41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свидетельствами в пользу «легкости» могут служить: наличие большого количества аналогичных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НМА на рынке как у компании, так и у конкурентов (например, технологические регламенты);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небольшие исторические сроки и затраты на разработку таких НМА; разработка сторонними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специалистами (т. е. без привлечения уникальных трудовых ресурсов) и т.д. </w:t>
      </w:r>
    </w:p>
    <w:p>
      <w:pPr>
        <w:autoSpaceDN w:val="0"/>
        <w:autoSpaceDE w:val="0"/>
        <w:widowControl/>
        <w:spacing w:line="318" w:lineRule="exact" w:before="198" w:after="0"/>
        <w:ind w:left="0" w:right="20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случае если какие-либо НМА можно воссоздать с понятными усилиями, но в течение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длительного срока (например, когда требуются испытания медикаментов), инвестор может пойти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на то, чтобы заплатить больше, чем стоят разработки, на величину, отражающую его возможные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экономические потери, связанные с более поздним выходом на рынок (место на рынке может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оказаться занятым лекарством-конкурентом и т. д.); такие альтернативные издержки должны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учитываться, даже когда оценка производится с использованием затратного подхода.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3. Ограничения по использованию – аналогично сроку жизни активов, ограничения могут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определяться как характером прав на актив (например, действие лицензии или исключительного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права только на определенной территории), так и его экономической сущностью (например,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возможность использования программного обеспечения только на отдельных типах систем).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Влияние данного фактора будет в наибольшей степени сказываться при применении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и доходного подходов (при поиске аналогов или при корректировке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прогнозируемых денежных потоков). </w:t>
      </w:r>
    </w:p>
    <w:p>
      <w:pPr>
        <w:autoSpaceDN w:val="0"/>
        <w:autoSpaceDE w:val="0"/>
        <w:widowControl/>
        <w:spacing w:line="318" w:lineRule="exact" w:before="202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4. Этап разработки/использования – данный фактор особенно существенен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технологических активов, риски которых в значительной степени зависят от стадии разработки.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Это одна из характеристик, которые необходимо учитывать при сопоставлении активов в рамках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сравнительного подхода (например, лекарства на разных этапах тестирования, скорее всего, будут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мало сопоставимыми). </w:t>
      </w:r>
    </w:p>
    <w:p>
      <w:pPr>
        <w:autoSpaceDN w:val="0"/>
        <w:autoSpaceDE w:val="0"/>
        <w:widowControl/>
        <w:spacing w:line="310" w:lineRule="exact" w:before="220" w:after="0"/>
        <w:ind w:left="71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НМА, связанные с обработкой данных. </w:t>
      </w:r>
    </w:p>
    <w:p>
      <w:pPr>
        <w:autoSpaceDN w:val="0"/>
        <w:tabs>
          <w:tab w:pos="710" w:val="left"/>
        </w:tabs>
        <w:autoSpaceDE w:val="0"/>
        <w:widowControl/>
        <w:spacing w:line="332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 нематериальным активам, связанным с обработкой данных, традиционно относят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компьютерное программное обеспечение и электронные базы данных. </w:t>
      </w:r>
    </w:p>
    <w:p>
      <w:pPr>
        <w:autoSpaceDN w:val="0"/>
        <w:autoSpaceDE w:val="0"/>
        <w:widowControl/>
        <w:spacing w:line="312" w:lineRule="exact" w:before="222" w:after="0"/>
        <w:ind w:left="71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Компьютерное программное обеспечение </w:t>
      </w:r>
    </w:p>
    <w:p>
      <w:pPr>
        <w:autoSpaceDN w:val="0"/>
        <w:autoSpaceDE w:val="0"/>
        <w:widowControl/>
        <w:spacing w:line="320" w:lineRule="exact" w:before="166" w:after="0"/>
        <w:ind w:left="0" w:right="22" w:firstLine="71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Под компьютерным программным обеспечением (ПО) часто понимаются программы,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которые содержат определенные инструкции для компьютера. Самое широкое определение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компьютерного ПО гласит: «программное обеспечение включает все, что не является аппаратным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обеспечением». Согласно ст. 1261 Гражданского кодекса РФ «программой для ЭВМ является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представленная в объективной форме совокупность данных и команд, предназначенных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функционирования ЭВМ и других компьютерных устройств в целях получения определенного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результата, включая подготовительные материалы, полученные в ходе разработки программы 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ЭВМ, и порождаемые ею аудиовизуальные отображения». </w:t>
      </w:r>
    </w:p>
    <w:p>
      <w:pPr>
        <w:autoSpaceDN w:val="0"/>
        <w:autoSpaceDE w:val="0"/>
        <w:widowControl/>
        <w:spacing w:line="312" w:lineRule="exact" w:before="222" w:after="0"/>
        <w:ind w:left="710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Компьютерное ПО можно классифицировать по функциональным группам. </w:t>
      </w:r>
    </w:p>
    <w:p>
      <w:pPr>
        <w:autoSpaceDN w:val="0"/>
        <w:autoSpaceDE w:val="0"/>
        <w:widowControl/>
        <w:spacing w:line="276" w:lineRule="exact" w:before="19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13-2. Функциональные группы программного обеспечения </w:t>
      </w:r>
    </w:p>
    <w:p>
      <w:pPr>
        <w:autoSpaceDN w:val="0"/>
        <w:autoSpaceDE w:val="0"/>
        <w:widowControl/>
        <w:spacing w:line="197" w:lineRule="auto" w:before="107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42 </w:t>
      </w:r>
    </w:p>
    <w:p>
      <w:pPr>
        <w:sectPr>
          <w:pgSz w:w="11906" w:h="16838"/>
          <w:pgMar w:top="338" w:right="630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14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23840" cy="2440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40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4" w:lineRule="exact" w:before="190" w:after="0"/>
        <w:ind w:left="0" w:right="28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 точки зрения владельцев или пользователей НМА, программное обеспечение делится на две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общие категории – предназначенное для продажи и лицензирования и для внутреннего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использования (или корпоративное): </w:t>
      </w:r>
    </w:p>
    <w:p>
      <w:pPr>
        <w:autoSpaceDN w:val="0"/>
        <w:autoSpaceDE w:val="0"/>
        <w:widowControl/>
        <w:spacing w:line="308" w:lineRule="exact" w:before="210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Товарное программное обеспечение – разрабатывается для продажи в качестве готового товара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включает в себя различные продукты от индивидуальных автономных программ до комплексных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модульных систем, которые взаимодействуют между собой (например, бухгалтерские системы). </w:t>
      </w:r>
    </w:p>
    <w:p>
      <w:pPr>
        <w:autoSpaceDN w:val="0"/>
        <w:autoSpaceDE w:val="0"/>
        <w:widowControl/>
        <w:spacing w:line="310" w:lineRule="exact" w:before="224" w:after="0"/>
        <w:ind w:left="0" w:right="26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Операционное программное обеспечение – применяется компанией в собственной внутренней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деятельности; может использоваться по лицензии, разрабатываться по контракту внешней фирмой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или внутри компании. </w:t>
      </w:r>
    </w:p>
    <w:p>
      <w:pPr>
        <w:autoSpaceDN w:val="0"/>
        <w:autoSpaceDE w:val="0"/>
        <w:widowControl/>
        <w:spacing w:line="316" w:lineRule="exact" w:before="216" w:after="0"/>
        <w:ind w:left="0" w:right="24" w:firstLine="14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Необходимо отметить, что товарное ПО должно продаваться именно как готовый обособленный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товар. Например, в тех случаях, когда существует ПО, необходимое для обеспечения работы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оборудования, которое поставляется компанией, Оценщик должен определить возможность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такого актива генерировать доходы отдельно от продаж оборудования, что может существенно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повлиять на величину его стоимости и выбор способов оценки. </w:t>
      </w:r>
    </w:p>
    <w:p>
      <w:pPr>
        <w:autoSpaceDN w:val="0"/>
        <w:autoSpaceDE w:val="0"/>
        <w:widowControl/>
        <w:spacing w:line="318" w:lineRule="exact" w:before="198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Доходный подход методом MEEM (Multi-period excess-earnings method) является одной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разновидностей метода дисконтирования денежных потоков. При применении данного метода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определяются потоки доходов и расходов, в генерации которых участвует оцениваемый НМА.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случаях, в зависимости от конкретного НМА, начальные потоки доходов и расходов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могут представлять собой потоки всего бизнеса. Однако общие денежные потоки всего бизнеса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всегда должны относиться на один НМА, поскольку в создании стоимости участвуют все активы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предприятия (как существующие на дату оценки, так и те, которые будут созданы в будущем). </w:t>
      </w:r>
    </w:p>
    <w:p>
      <w:pPr>
        <w:autoSpaceDN w:val="0"/>
        <w:autoSpaceDE w:val="0"/>
        <w:widowControl/>
        <w:spacing w:line="318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MEEM предполагает определение притока и оттока средств, дохода на инвестиции (Returns On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Investments) и их возврата (Returns of Investments). </w:t>
      </w:r>
    </w:p>
    <w:p>
      <w:pPr>
        <w:autoSpaceDN w:val="0"/>
        <w:autoSpaceDE w:val="0"/>
        <w:widowControl/>
        <w:spacing w:line="326" w:lineRule="exact" w:before="174" w:after="0"/>
        <w:ind w:left="0" w:right="2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 на инвестиции и возврат инвестиций представляют собой платежи условным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собственникам других активов, отличных от оцениваемых НМА. При этом делается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предположение, что все прочие активы (кроме оцениваемых) были взяты в аренду или лизинг. </w:t>
      </w:r>
    </w:p>
    <w:p>
      <w:pPr>
        <w:autoSpaceDN w:val="0"/>
        <w:autoSpaceDE w:val="0"/>
        <w:widowControl/>
        <w:spacing w:line="197" w:lineRule="auto" w:before="7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43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Приток средств чаще всего представляет собой выручку компании в целом или ее отдельного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сегмента, приходящуюся на оцениваемые НМА. Отток средств формируется затратами (прямыми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косвенными), коммерческими расходами, расходами на ремонт и т.д.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оценке денежных потоков Оценщик определяет выручку и затраты, приходящиеся на </w:t>
      </w:r>
    </w:p>
    <w:p>
      <w:pPr>
        <w:autoSpaceDN w:val="0"/>
        <w:autoSpaceDE w:val="0"/>
        <w:widowControl/>
        <w:spacing w:line="31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конкретные НМА. Для одних активов это могут быть все доходы и расходы компании, для других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– лишь их часть. </w:t>
      </w:r>
    </w:p>
    <w:p>
      <w:pPr>
        <w:autoSpaceDN w:val="0"/>
        <w:autoSpaceDE w:val="0"/>
        <w:widowControl/>
        <w:spacing w:line="316" w:lineRule="exact" w:before="20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проведении расчетов методом MEEM Оценщик выполняет следующую последовательность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действий: </w:t>
      </w:r>
    </w:p>
    <w:p>
      <w:pPr>
        <w:autoSpaceDN w:val="0"/>
        <w:autoSpaceDE w:val="0"/>
        <w:widowControl/>
        <w:spacing w:line="320" w:lineRule="exact" w:before="19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1: определить НМА, которые подлежат оценке с использованием метода MEEM.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2: выделить доходы, в генерации которых участвуют оцениваемые НМА. </w:t>
      </w:r>
    </w:p>
    <w:p>
      <w:pPr>
        <w:autoSpaceDN w:val="0"/>
        <w:autoSpaceDE w:val="0"/>
        <w:widowControl/>
        <w:spacing w:line="320" w:lineRule="exact" w:before="15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3: определить затраты, связанные с данными доходами.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4: идентифицировать все другие активы, участвующие в генерации данных доходов. </w:t>
      </w:r>
    </w:p>
    <w:p>
      <w:pPr>
        <w:autoSpaceDN w:val="0"/>
        <w:autoSpaceDE w:val="0"/>
        <w:widowControl/>
        <w:spacing w:line="320" w:lineRule="exact" w:before="15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5: определить требуемую доходность для всех активов. </w:t>
      </w:r>
    </w:p>
    <w:p>
      <w:pPr>
        <w:autoSpaceDN w:val="0"/>
        <w:autoSpaceDE w:val="0"/>
        <w:widowControl/>
        <w:spacing w:line="278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6: провести расчет требуемого дохода на инвестиции и возврата инвестиций (для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«арендуемых» активов»). </w:t>
      </w:r>
    </w:p>
    <w:p>
      <w:pPr>
        <w:autoSpaceDN w:val="0"/>
        <w:autoSpaceDE w:val="0"/>
        <w:widowControl/>
        <w:spacing w:line="320" w:lineRule="exact" w:before="1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Шаг 7: рассчитать денежные потоки, относимые на НМА </w:t>
      </w:r>
    </w:p>
    <w:p>
      <w:pPr>
        <w:autoSpaceDN w:val="0"/>
        <w:autoSpaceDE w:val="0"/>
        <w:widowControl/>
        <w:spacing w:line="318" w:lineRule="exact" w:before="15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метода MEEM Оценщик проводит анализ оборотного капитала компании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определяет его экономически обоснованный уровень (т. е. нормализует его). Весь излишний </w:t>
      </w:r>
    </w:p>
    <w:p>
      <w:pPr>
        <w:autoSpaceDN w:val="0"/>
        <w:autoSpaceDE w:val="0"/>
        <w:widowControl/>
        <w:spacing w:line="318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оборотный капитал, фактически не участвующий в генерации денежных потоков, должен быть из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расчетов исключен. 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Основные средства, в отличие от оборотного капитала, подвержены износу. В связи с этим их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гипотетический правообладатель будет ожидать не только дохода от их использования, но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компенсации потери их стоимости в результате износа. </w:t>
      </w:r>
    </w:p>
    <w:p>
      <w:pPr>
        <w:autoSpaceDN w:val="0"/>
        <w:autoSpaceDE w:val="0"/>
        <w:widowControl/>
        <w:spacing w:line="334" w:lineRule="exact" w:before="16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Потребность в основных средствах зависит от стадии жизненного цикла компании и должна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планироваться с учетом их оптимального использования в течение всего срока жизни. </w:t>
      </w:r>
    </w:p>
    <w:p>
      <w:pPr>
        <w:autoSpaceDN w:val="0"/>
        <w:autoSpaceDE w:val="0"/>
        <w:widowControl/>
        <w:spacing w:line="266" w:lineRule="exact" w:before="23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 MEEM по определению предполагает оценку нематериальных активов. Однако стоимость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некоторых из них, участвующих в формировании будущих денежных потоков компании, может </w:t>
      </w:r>
    </w:p>
    <w:p>
      <w:pPr>
        <w:autoSpaceDN w:val="0"/>
        <w:autoSpaceDE w:val="0"/>
        <w:widowControl/>
        <w:spacing w:line="266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быть рассчитана другими методами, описанными выше. Такие НМА необходимо рассматривать </w:t>
      </w:r>
    </w:p>
    <w:p>
      <w:pPr>
        <w:autoSpaceDN w:val="0"/>
        <w:autoSpaceDE w:val="0"/>
        <w:widowControl/>
        <w:spacing w:line="324" w:lineRule="exact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аналогии с внеоборотными активами, и для них также должны быть определены потоки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от инвестиций и возврата инвестиций в течение срока их экономической жизни. Кроме </w:t>
      </w:r>
    </w:p>
    <w:p>
      <w:pPr>
        <w:autoSpaceDN w:val="0"/>
        <w:autoSpaceDE w:val="0"/>
        <w:widowControl/>
        <w:spacing w:line="266" w:lineRule="exact" w:before="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того, из всех активов компании Оценщик должен выделить активы, участвующие в генерации </w:t>
      </w:r>
    </w:p>
    <w:p>
      <w:pPr>
        <w:autoSpaceDN w:val="0"/>
        <w:autoSpaceDE w:val="0"/>
        <w:widowControl/>
        <w:spacing w:line="32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доходов совместно с оцениваемым НМА. Последовательность определения денежных потоков в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методе MEEM представлена на схеме ниже. </w:t>
      </w:r>
    </w:p>
    <w:p>
      <w:pPr>
        <w:autoSpaceDN w:val="0"/>
        <w:autoSpaceDE w:val="0"/>
        <w:widowControl/>
        <w:spacing w:line="276" w:lineRule="exact" w:before="2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13-3. Определение денежных потоков по методу МЕЕМ. </w:t>
      </w:r>
    </w:p>
    <w:p>
      <w:pPr>
        <w:autoSpaceDN w:val="0"/>
        <w:autoSpaceDE w:val="0"/>
        <w:widowControl/>
        <w:spacing w:line="197" w:lineRule="auto" w:before="103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44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40" w:lineRule="auto" w:before="0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80030" cy="242824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428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2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При использовании указанного метода требуемый доход от инвестиций определяется на основе </w:t>
      </w:r>
    </w:p>
    <w:p>
      <w:pPr>
        <w:autoSpaceDN w:val="0"/>
        <w:autoSpaceDE w:val="0"/>
        <w:widowControl/>
        <w:spacing w:line="264" w:lineRule="exact" w:before="5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среднегодовой стоимости активов, участвующих в расчетах. При этом размер требуемого </w:t>
      </w:r>
    </w:p>
    <w:p>
      <w:pPr>
        <w:autoSpaceDN w:val="0"/>
        <w:autoSpaceDE w:val="0"/>
        <w:widowControl/>
        <w:spacing w:line="266" w:lineRule="exact" w:before="5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возмещения инвестиций соответствует величине амортизации. Метод среднегодового баланса </w:t>
      </w:r>
    </w:p>
    <w:p>
      <w:pPr>
        <w:autoSpaceDN w:val="0"/>
        <w:autoSpaceDE w:val="0"/>
        <w:widowControl/>
        <w:spacing w:line="266" w:lineRule="exact" w:before="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должен применяться для всех активов, используемых в MEEM. </w:t>
      </w:r>
    </w:p>
    <w:p>
      <w:pPr>
        <w:autoSpaceDN w:val="0"/>
        <w:autoSpaceDE w:val="0"/>
        <w:widowControl/>
        <w:spacing w:line="334" w:lineRule="exact" w:before="18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оборотного капитала, как отмечалось выше, расчет требуемого возврата инвестиций не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осуществляется. </w:t>
      </w:r>
    </w:p>
    <w:p>
      <w:pPr>
        <w:autoSpaceDN w:val="0"/>
        <w:autoSpaceDE w:val="0"/>
        <w:widowControl/>
        <w:spacing w:line="320" w:lineRule="exact" w:before="19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Для расчетов сделаны следующие допущения: </w:t>
      </w:r>
    </w:p>
    <w:p>
      <w:pPr>
        <w:autoSpaceDN w:val="0"/>
        <w:tabs>
          <w:tab w:pos="722" w:val="left"/>
        </w:tabs>
        <w:autoSpaceDE w:val="0"/>
        <w:widowControl/>
        <w:spacing w:line="332" w:lineRule="exact" w:before="202" w:after="0"/>
        <w:ind w:left="362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требуемая доходность по основным средствам составляет 10% (после уплаты налогов);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оставшийся срок жизни текущих ОС составляет от 1 до 5 лет с ежегодным их списанием на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сумму амортизации;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средний срок амортизации капитальных вложений –5лет;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амортизация начисляется линейным методом; </w:t>
      </w:r>
      <w:r>
        <w:br/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полная годовая амортизация начисляется уже в год осуществления капитальных вложений; </w:t>
      </w:r>
      <w:r>
        <w:rPr>
          <w:rFonts w:ascii="Symbol" w:hAnsi="Symbol" w:eastAsia="Symbol"/>
          <w:b w:val="0"/>
          <w:i w:val="0"/>
          <w:color w:val="000000"/>
          <w:sz w:val="24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произведен в тыс.рублей. </w:t>
      </w:r>
    </w:p>
    <w:p>
      <w:pPr>
        <w:autoSpaceDN w:val="0"/>
        <w:autoSpaceDE w:val="0"/>
        <w:widowControl/>
        <w:spacing w:line="197" w:lineRule="auto" w:before="5058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45 </w:t>
      </w:r>
    </w:p>
    <w:p>
      <w:pPr>
        <w:sectPr>
          <w:pgSz w:w="11906" w:h="16838"/>
          <w:pgMar w:top="338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6"/>
        <w:ind w:left="0" w:right="0"/>
      </w:pPr>
    </w:p>
    <w:p>
      <w:pPr>
        <w:autoSpaceDN w:val="0"/>
        <w:autoSpaceDE w:val="0"/>
        <w:widowControl/>
        <w:spacing w:line="276" w:lineRule="exact" w:before="0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13-1. Расчет требуемого возврата инвестиций,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842"/>
        <w:gridCol w:w="1842"/>
        <w:gridCol w:w="1842"/>
        <w:gridCol w:w="1842"/>
        <w:gridCol w:w="1842"/>
        <w:gridCol w:w="1842"/>
        <w:gridCol w:w="1842"/>
        <w:gridCol w:w="1842"/>
      </w:tblGrid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Первоначальная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(баланс)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Восстановительная стоимость ОС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Незавершенное строительство (оценка)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Базовая инфляция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1,043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1,040 </w:t>
            </w:r>
          </w:p>
        </w:tc>
      </w:tr>
      <w:tr>
        <w:trPr>
          <w:trHeight w:hRule="exact" w:val="28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Амортизация существующих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ОС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37 893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Амортизация введенного НС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Остаточная стоимость введенного НС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Инвестиции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развитие </w:t>
            </w:r>
          </w:p>
        </w:tc>
        <w:tc>
          <w:tcPr>
            <w:tcW w:type="dxa" w:w="16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0455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5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восстановление ОС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Амортизация инвестиций в основной капитал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17,0%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11 188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3 753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7 506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3 682 </w:t>
            </w:r>
          </w:p>
        </w:tc>
        <w:tc>
          <w:tcPr>
            <w:tcW w:type="dxa" w:w="124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4.0" w:val="single" w:color="#000000"/>
              <w:top w:sz="3.200000000000273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40"/>
            <w:tcBorders>
              <w:start w:sz="3.2000000000007276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  <w:tc>
          <w:tcPr>
            <w:tcW w:type="dxa" w:w="12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7 363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989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1 978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1 402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2 804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1 613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3 226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1 880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Остаточная стоимость инвестиций (баланс на конец года)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2022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40 402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32 896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25 390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17 884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10 378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2 872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39 630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32 267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24 904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17 541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10 178 </w:t>
            </w:r>
          </w:p>
        </w:tc>
      </w:tr>
      <w:tr>
        <w:trPr>
          <w:trHeight w:hRule="exact" w:val="29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10 647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8 669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6 691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4 713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15 090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12 286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9 482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17 366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14 140 </w:t>
            </w:r>
          </w:p>
        </w:tc>
      </w:tr>
      <w:tr>
        <w:trPr>
          <w:trHeight w:hRule="exact" w:val="298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2027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20 235 </w:t>
            </w:r>
          </w:p>
        </w:tc>
      </w:tr>
      <w:tr>
        <w:trPr>
          <w:trHeight w:hRule="exact" w:val="280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Всего амортизация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cc9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94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года (по балансу)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96"/>
        </w:trPr>
        <w:tc>
          <w:tcPr>
            <w:tcW w:type="dxa" w:w="56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конец года </w:t>
            </w:r>
          </w:p>
        </w:tc>
        <w:tc>
          <w:tcPr>
            <w:tcW w:type="dxa" w:w="16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3.2000000000007276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40"/>
            <w:tcBorders>
              <w:start w:sz="3.2000000000007276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2"/>
        </w:trPr>
        <w:tc>
          <w:tcPr>
            <w:tcW w:type="dxa" w:w="56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Налог на имущество </w:t>
            </w:r>
          </w:p>
        </w:tc>
        <w:tc>
          <w:tcPr>
            <w:tcW w:type="dxa" w:w="16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2,2% </w:t>
            </w:r>
          </w:p>
        </w:tc>
        <w:tc>
          <w:tcPr>
            <w:tcW w:type="dxa" w:w="12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1 764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1 659 </w:t>
            </w:r>
          </w:p>
        </w:tc>
        <w:tc>
          <w:tcPr>
            <w:tcW w:type="dxa" w:w="124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1 549 </w:t>
            </w:r>
          </w:p>
        </w:tc>
        <w:tc>
          <w:tcPr>
            <w:tcW w:type="dxa" w:w="1240"/>
            <w:tcBorders>
              <w:start w:sz="4.0" w:val="single" w:color="#000000"/>
              <w:top w:sz="3.199999999999818" w:val="single" w:color="#000000"/>
              <w:end w:sz="3.2000000000007276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1 483 </w:t>
            </w:r>
          </w:p>
        </w:tc>
        <w:tc>
          <w:tcPr>
            <w:tcW w:type="dxa" w:w="1240"/>
            <w:tcBorders>
              <w:start w:sz="3.2000000000007276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1 439 </w:t>
            </w:r>
          </w:p>
        </w:tc>
        <w:tc>
          <w:tcPr>
            <w:tcW w:type="dxa" w:w="120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1 385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556" w:right="1364" w:bottom="48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13-2. Расчет амортизации.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80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Показатель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2 017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2 018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2 019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5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2 021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312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%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амортизации </w:t>
            </w:r>
          </w:p>
        </w:tc>
      </w:tr>
      <w:tr>
        <w:trPr>
          <w:trHeight w:hRule="exact" w:val="42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Первоначальная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стоимость ОС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87 074,00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124 858,00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219 825,00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227 282,00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7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295 736,00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6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Амортизация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16 561,00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19 807,00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37 062,00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39 456,00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4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41 385,00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94"/>
        </w:trPr>
        <w:tc>
          <w:tcPr>
            <w:tcW w:type="dxa" w:w="17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% амортизации </w:t>
            </w:r>
          </w:p>
        </w:tc>
        <w:tc>
          <w:tcPr>
            <w:tcW w:type="dxa" w:w="1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0,19 </w:t>
            </w:r>
          </w:p>
        </w:tc>
        <w:tc>
          <w:tcPr>
            <w:tcW w:type="dxa" w:w="12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0,16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0,17 </w:t>
            </w:r>
          </w:p>
        </w:tc>
        <w:tc>
          <w:tcPr>
            <w:tcW w:type="dxa" w:w="124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5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0,14 </w:t>
            </w:r>
          </w:p>
        </w:tc>
        <w:tc>
          <w:tcPr>
            <w:tcW w:type="dxa" w:w="182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0,17 </w:t>
            </w:r>
          </w:p>
        </w:tc>
      </w:tr>
    </w:tbl>
    <w:p>
      <w:pPr>
        <w:autoSpaceDN w:val="0"/>
        <w:autoSpaceDE w:val="0"/>
        <w:widowControl/>
        <w:spacing w:line="276" w:lineRule="exact" w:before="496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13-3. Расчет требуемого дохода от инвестиций (на середину года), тыс. руб.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64"/>
        </w:trPr>
        <w:tc>
          <w:tcPr>
            <w:tcW w:type="dxa" w:w="14700"/>
            <w:gridSpan w:val="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Расчет требуемого дохода от инвестиций (на середину года) </w:t>
            </w:r>
          </w:p>
        </w:tc>
      </w:tr>
      <w:tr>
        <w:trPr>
          <w:trHeight w:hRule="exact" w:val="52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 09.12.2022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7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2027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3"/>
              </w:rPr>
              <w:t xml:space="preserve">*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 на начало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259 736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</w:tr>
      <w:tr>
        <w:trPr>
          <w:trHeight w:hRule="exact" w:val="268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62"/>
        </w:trPr>
        <w:tc>
          <w:tcPr>
            <w:tcW w:type="dxa" w:w="49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 </w:t>
            </w:r>
          </w:p>
        </w:tc>
        <w:tc>
          <w:tcPr>
            <w:tcW w:type="dxa" w:w="155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151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276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276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41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7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Остаток ОС на конец периода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82 048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78 295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72 526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68 304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66 547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64 262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61 620 </w:t>
            </w:r>
          </w:p>
        </w:tc>
      </w:tr>
      <w:tr>
        <w:trPr>
          <w:trHeight w:hRule="exact" w:val="264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Среднегодовая стоимость ОС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170 892    </w:t>
            </w:r>
          </w:p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80 172 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2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75 411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0,9157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70 415  </w:t>
            </w:r>
          </w:p>
        </w:tc>
        <w:tc>
          <w:tcPr>
            <w:tcW w:type="dxa" w:w="1276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67 426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0,6567 </w:t>
            </w:r>
          </w:p>
        </w:tc>
        <w:tc>
          <w:tcPr>
            <w:tcW w:type="dxa" w:w="1276"/>
            <w:vMerge w:val="restart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0" w:val="left"/>
              </w:tabs>
              <w:autoSpaceDE w:val="0"/>
              <w:widowControl/>
              <w:spacing w:line="37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t xml:space="preserve">          65 405 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0,5562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62 941    </w:t>
            </w:r>
          </w:p>
        </w:tc>
      </w:tr>
      <w:tr>
        <w:trPr>
          <w:trHeight w:hRule="exact" w:val="490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Фактор дисконтирования (для приведения требуемого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дохода к середине каждого года)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0,995 </w:t>
            </w:r>
          </w:p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0,7755 </w:t>
            </w:r>
          </w:p>
        </w:tc>
        <w:tc>
          <w:tcPr>
            <w:tcW w:type="dxa" w:w="1945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1945"/>
            <w:vMerge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0,5118 </w:t>
            </w:r>
          </w:p>
        </w:tc>
      </w:tr>
      <w:tr>
        <w:trPr>
          <w:trHeight w:hRule="exact" w:val="266"/>
        </w:trPr>
        <w:tc>
          <w:tcPr>
            <w:tcW w:type="dxa" w:w="4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Доход на инвестиции (10%) </w:t>
            </w:r>
          </w:p>
        </w:tc>
        <w:tc>
          <w:tcPr>
            <w:tcW w:type="dxa" w:w="155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7 977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6 905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5 461  </w:t>
            </w:r>
          </w:p>
        </w:tc>
        <w:tc>
          <w:tcPr>
            <w:tcW w:type="dxa" w:w="1276"/>
            <w:tcBorders>
              <w:start w:sz="4.0" w:val="single" w:color="#000000"/>
              <w:top w:sz="4.0" w:val="single" w:color="#000000"/>
              <w:end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4 428  </w:t>
            </w:r>
          </w:p>
        </w:tc>
        <w:tc>
          <w:tcPr>
            <w:tcW w:type="dxa" w:w="1276"/>
            <w:tcBorders>
              <w:start w:sz="3.199999999999818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        3 638  </w:t>
            </w:r>
          </w:p>
        </w:tc>
        <w:tc>
          <w:tcPr>
            <w:tcW w:type="dxa" w:w="14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8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3 221    </w:t>
            </w:r>
          </w:p>
        </w:tc>
      </w:tr>
    </w:tbl>
    <w:p>
      <w:pPr>
        <w:autoSpaceDN w:val="0"/>
        <w:autoSpaceDE w:val="0"/>
        <w:widowControl/>
        <w:spacing w:line="274" w:lineRule="exact" w:before="498" w:after="214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13-4. Расчетные данные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27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номер строки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2019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2020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2021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9 мес.2022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2 110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284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роста выручки, 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48,54753988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10,87965047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-10,578743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3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114,1196289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6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(Запасы+НДС+ДЗ-КЗ), тыс.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2 140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190 078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343 267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18 625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121 019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850 572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335 998 </w:t>
            </w:r>
          </w:p>
        </w:tc>
      </w:tr>
      <w:tr>
        <w:trPr>
          <w:trHeight w:hRule="exact" w:val="29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Амортизация,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16 561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19 807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37 062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39 456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41 385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29 967 </w:t>
            </w:r>
          </w:p>
        </w:tc>
      </w:tr>
      <w:tr>
        <w:trPr>
          <w:trHeight w:hRule="exact" w:val="426"/>
        </w:trPr>
        <w:tc>
          <w:tcPr>
            <w:tcW w:type="dxa" w:w="340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EBIT, тыс. руб. </w:t>
            </w:r>
          </w:p>
        </w:tc>
        <w:tc>
          <w:tcPr>
            <w:tcW w:type="dxa" w:w="1638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823 232 </w:t>
            </w:r>
          </w:p>
        </w:tc>
        <w:tc>
          <w:tcPr>
            <w:tcW w:type="dxa" w:w="3942"/>
            <w:tcBorders>
              <w:start w:sz="4.0" w:val="single" w:color="#000000"/>
              <w:top w:sz="3.199999999999818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</w:tbl>
    <w:p>
      <w:pPr>
        <w:autoSpaceDN w:val="0"/>
        <w:autoSpaceDE w:val="0"/>
        <w:widowControl/>
        <w:spacing w:line="197" w:lineRule="auto" w:before="360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47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обеспечения «tNAVIGATOR», принадлежащего ООО «РфД».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1945"/>
        <w:gridCol w:w="1945"/>
        <w:gridCol w:w="1945"/>
        <w:gridCol w:w="1945"/>
        <w:gridCol w:w="1945"/>
        <w:gridCol w:w="1945"/>
        <w:gridCol w:w="1945"/>
        <w:gridCol w:w="1945"/>
      </w:tblGrid>
      <w:tr>
        <w:trPr>
          <w:trHeight w:hRule="exact" w:val="418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Чистая прибыль,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2 400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192 265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373 025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34 230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13 243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796 832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662 107 </w:t>
            </w:r>
          </w:p>
        </w:tc>
      </w:tr>
      <w:tr>
        <w:trPr>
          <w:trHeight w:hRule="exact" w:val="386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CAPEX, тыс. руб.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46872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94967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7456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32 454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27 378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31 519 </w:t>
            </w:r>
          </w:p>
        </w:tc>
      </w:tr>
      <w:tr>
        <w:trPr>
          <w:trHeight w:hRule="exact" w:val="47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продаж по чистой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прибыли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113,74%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38,84%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9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Рентабельность по EBIT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0,00% </w:t>
            </w:r>
          </w:p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29,56% </w:t>
            </w:r>
          </w:p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38,60% </w:t>
            </w:r>
          </w:p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3,19% </w:t>
            </w:r>
          </w:p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1,38% </w:t>
            </w:r>
          </w:p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40,13%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100,00% </w:t>
            </w:r>
          </w:p>
        </w:tc>
      </w:tr>
      <w:tr>
        <w:trPr>
          <w:trHeight w:hRule="exact" w:val="280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СОК,%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101,42% </w:t>
            </w:r>
          </w:p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29,22% </w:t>
            </w:r>
          </w:p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35,52% </w:t>
            </w:r>
          </w:p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1,74% </w:t>
            </w:r>
          </w:p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12,63% </w:t>
            </w:r>
          </w:p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41,46%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50,75% </w:t>
            </w:r>
          </w:p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СОК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304 712     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1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   </w:t>
            </w:r>
          </w:p>
        </w:tc>
      </w:tr>
      <w:tr>
        <w:trPr>
          <w:trHeight w:hRule="exact" w:val="278"/>
        </w:trPr>
        <w:tc>
          <w:tcPr>
            <w:tcW w:type="dxa" w:w="340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СОК отраслевой </w:t>
            </w:r>
          </w:p>
        </w:tc>
        <w:tc>
          <w:tcPr>
            <w:tcW w:type="dxa" w:w="163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-1,25% </w:t>
            </w:r>
          </w:p>
        </w:tc>
        <w:tc>
          <w:tcPr>
            <w:tcW w:type="dxa" w:w="3942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2"/>
        </w:trPr>
        <w:tc>
          <w:tcPr>
            <w:tcW w:type="dxa" w:w="340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Средняя рентабельность EBIT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18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33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5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7,80% </w:t>
            </w:r>
          </w:p>
        </w:tc>
        <w:tc>
          <w:tcPr>
            <w:tcW w:type="dxa" w:w="394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https://www.testfirm.ru/finfactor/grossmargin/ </w:t>
            </w:r>
          </w:p>
        </w:tc>
      </w:tr>
    </w:tbl>
    <w:p>
      <w:pPr>
        <w:autoSpaceDN w:val="0"/>
        <w:autoSpaceDE w:val="0"/>
        <w:widowControl/>
        <w:spacing w:line="276" w:lineRule="exact" w:before="496" w:after="20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13-5. Расчетные данные прогнозного периода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223"/>
        <w:gridCol w:w="2223"/>
        <w:gridCol w:w="2223"/>
        <w:gridCol w:w="2223"/>
        <w:gridCol w:w="2223"/>
        <w:gridCol w:w="2223"/>
        <w:gridCol w:w="2223"/>
      </w:tblGrid>
      <w:tr>
        <w:trPr>
          <w:trHeight w:hRule="exact" w:val="282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Показатели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2018"/>
            </w:tblGrid>
            <w:tr>
              <w:trPr>
                <w:trHeight w:hRule="exact" w:val="266"/>
              </w:trPr>
              <w:tc>
                <w:tcPr>
                  <w:tcW w:type="dxa" w:w="1978"/>
                  <w:tcBorders/>
                  <w:shd w:fill="c5d9f0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76" w:lineRule="exact" w:before="10" w:after="0"/>
                    <w:ind w:left="0" w:right="14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0"/>
                    </w:rPr>
                    <w:t xml:space="preserve">2022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2026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5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EBIT </w:t>
            </w:r>
          </w:p>
        </w:tc>
        <w:tc>
          <w:tcPr>
            <w:tcW w:type="dxa" w:w="20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166 738 </w:t>
            </w:r>
          </w:p>
        </w:tc>
        <w:tc>
          <w:tcPr>
            <w:tcW w:type="dxa" w:w="190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173 741 </w:t>
            </w:r>
          </w:p>
        </w:tc>
        <w:tc>
          <w:tcPr>
            <w:tcW w:type="dxa" w:w="184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180 691 </w:t>
            </w:r>
          </w:p>
        </w:tc>
        <w:tc>
          <w:tcPr>
            <w:tcW w:type="dxa" w:w="17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187 919 </w:t>
            </w:r>
          </w:p>
        </w:tc>
        <w:tc>
          <w:tcPr>
            <w:tcW w:type="dxa" w:w="1522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195 435 </w:t>
            </w:r>
          </w:p>
        </w:tc>
        <w:tc>
          <w:tcPr>
            <w:tcW w:type="dxa" w:w="1598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203 253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NOPLAT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133 390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138 993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144 553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150 335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156 348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162 602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Depr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47 908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49 081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15 858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18 249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21 264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24 757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CapExp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44 155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43 312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11 636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16 492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18 979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22 115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изм. NWC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-18 445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-1 122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-1 114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-1 158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-1 205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-1 253 </w:t>
            </w:r>
          </w:p>
        </w:tc>
      </w:tr>
      <w:tr>
        <w:trPr>
          <w:trHeight w:hRule="exact" w:val="280"/>
        </w:trPr>
        <w:tc>
          <w:tcPr>
            <w:tcW w:type="dxa" w:w="142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FCFF </w:t>
            </w:r>
          </w:p>
        </w:tc>
        <w:tc>
          <w:tcPr>
            <w:tcW w:type="dxa" w:w="20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155 588 </w:t>
            </w:r>
          </w:p>
        </w:tc>
        <w:tc>
          <w:tcPr>
            <w:tcW w:type="dxa" w:w="190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145 884 </w:t>
            </w:r>
          </w:p>
        </w:tc>
        <w:tc>
          <w:tcPr>
            <w:tcW w:type="dxa" w:w="184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149 889 </w:t>
            </w:r>
          </w:p>
        </w:tc>
        <w:tc>
          <w:tcPr>
            <w:tcW w:type="dxa" w:w="17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153 250 </w:t>
            </w:r>
          </w:p>
        </w:tc>
        <w:tc>
          <w:tcPr>
            <w:tcW w:type="dxa" w:w="152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159 838 </w:t>
            </w:r>
          </w:p>
        </w:tc>
        <w:tc>
          <w:tcPr>
            <w:tcW w:type="dxa" w:w="1598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166 497 </w:t>
            </w:r>
          </w:p>
        </w:tc>
      </w:tr>
    </w:tbl>
    <w:p>
      <w:pPr>
        <w:autoSpaceDN w:val="0"/>
        <w:autoSpaceDE w:val="0"/>
        <w:widowControl/>
        <w:spacing w:line="197" w:lineRule="auto" w:before="3902" w:after="0"/>
        <w:ind w:left="0" w:right="770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48 </w:t>
      </w:r>
    </w:p>
    <w:p>
      <w:pPr>
        <w:sectPr>
          <w:pgSz w:w="16838" w:h="11906"/>
          <w:pgMar w:top="340" w:right="542" w:bottom="492" w:left="73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308" w:lineRule="exact" w:before="0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определение ставок дисконтирования для отдельных типов активов. Необходимо отметить, что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расчет требуемого дохода от инвестиций должен производиться на основании ставок,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скорректированных на эффект налогового щита (post tax). В качестве ориентира должны быть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использованы ставки, представленные в таблице ниже. </w:t>
      </w:r>
    </w:p>
    <w:p>
      <w:pPr>
        <w:autoSpaceDN w:val="0"/>
        <w:autoSpaceDE w:val="0"/>
        <w:widowControl/>
        <w:spacing w:line="276" w:lineRule="exact" w:before="2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13-4. Ориентиры для определения требуемой доходности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285740" cy="114173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1141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76" w:lineRule="exact" w:before="222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13-6. Расчет стоимости WACC.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9"/>
        <w:gridCol w:w="3379"/>
        <w:gridCol w:w="3379"/>
      </w:tblGrid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Показ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атель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144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Зна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чен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ие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Источник информации </w:t>
            </w:r>
          </w:p>
        </w:tc>
      </w:tr>
      <w:tr>
        <w:trPr>
          <w:trHeight w:hRule="exact" w:val="69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Безрис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https://home.treasury.gov/resource-center/data-chart-center/interest-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rates/TextView?type=daily_treasury_yield_curve&amp;field_tdr_date_v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8" w:history="1">
                <w:r>
                  <w:rPr>
                    <w:rStyle w:val="Hyperlink"/>
                  </w:rPr>
                  <w:t>alue=2022</w:t>
                </w:r>
              </w:hyperlink>
            </w:r>
          </w:p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Рыноч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3,45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39" w:history="1">
                <w:r>
                  <w:rPr>
                    <w:rStyle w:val="Hyperlink"/>
                  </w:rPr>
                  <w:t>https://pages.stern.nyu.edu/~adamodar/New_Home_Page/datafile/histretSP.html</w:t>
                </w:r>
              </w:hyperlink>
            </w:r>
          </w:p>
        </w:tc>
      </w:tr>
      <w:tr>
        <w:trPr>
          <w:trHeight w:hRule="exact" w:val="69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компа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нии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1,21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3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без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0,79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налога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прибы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ль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Льготы для ИТ-компаний ввели с 2021 года: ставка налога на прибыль — 3% вместо 20%, 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тариф страховых взносов — 7,6% вместо 30%. При этом с 1 января 2022 года до 31 декабря 2024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налога на прибыль нулевая. </w:t>
            </w:r>
          </w:p>
        </w:tc>
      </w:tr>
      <w:tr>
        <w:trPr>
          <w:trHeight w:hRule="exact" w:val="70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14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Финан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совый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рычаг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31 ноябрь 2022 </w:t>
            </w:r>
          </w:p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Стран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овая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0" w:history="1">
                <w:r>
                  <w:rPr>
                    <w:rStyle w:val="Hyperlink"/>
                  </w:rPr>
                  <w:t>http://pages.stern.nyu.edu/~adamodar/New_Home_Page/datafile/ctryprem.html</w:t>
                </w:r>
              </w:hyperlink>
            </w:r>
          </w:p>
        </w:tc>
      </w:tr>
      <w:tr>
        <w:trPr>
          <w:trHeight w:hRule="exact" w:val="70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размер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0,89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СРД -31 Ноябрь 22 </w:t>
            </w:r>
          </w:p>
        </w:tc>
      </w:tr>
      <w:tr>
        <w:trPr>
          <w:trHeight w:hRule="exact" w:val="115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Преми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специ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фичес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кая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834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дол.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19,5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356" w:right="636" w:bottom="61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09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Корре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ктиров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валют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(из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долл. </w:t>
            </w:r>
          </w:p>
          <w:p>
            <w:pPr>
              <w:autoSpaceDN w:val="0"/>
              <w:autoSpaceDE w:val="0"/>
              <w:widowControl/>
              <w:spacing w:line="23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США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руб.) </w:t>
            </w:r>
          </w:p>
        </w:tc>
        <w:tc>
          <w:tcPr>
            <w:tcW w:type="dxa" w:w="616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1,02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61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4" w:after="0"/>
              <w:ind w:left="102" w:right="12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https://www.rusbonds.ru/BondCalc.aspx?bond_state=Market&amp;ftid=130058&amp;BondCalcDate=26.05.2021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&amp;bondCalcR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 xml:space="preserve">ate=0&amp;bondCalcType=0&amp;Price_Type=0&amp;Price_Clear=100&amp;Price_Full=0&amp;Yield_Type=0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  <w:u w:val="single"/>
              </w:rPr>
              <w:hyperlink r:id="rId41" w:history="1">
                <w:r>
                  <w:rPr>
                    <w:rStyle w:val="Hyperlink"/>
                  </w:rPr>
                  <w:t>&amp;Yield_1=0</w:t>
                </w:r>
              </w:hyperlink>
            </w:r>
          </w:p>
        </w:tc>
      </w:tr>
      <w:tr>
        <w:trPr>
          <w:trHeight w:hRule="exact" w:val="162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Стоим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ла,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22,6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160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собств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капита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26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ЦБ, ноябрь 22 </w:t>
            </w:r>
          </w:p>
        </w:tc>
      </w:tr>
      <w:tr>
        <w:trPr>
          <w:trHeight w:hRule="exact" w:val="185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Ставка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кредит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налого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щита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9,75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0"/>
        </w:trPr>
        <w:tc>
          <w:tcPr>
            <w:tcW w:type="dxa" w:w="828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долга </w:t>
            </w:r>
          </w:p>
        </w:tc>
        <w:tc>
          <w:tcPr>
            <w:tcW w:type="dxa" w:w="61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2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9% </w:t>
            </w:r>
          </w:p>
        </w:tc>
        <w:tc>
          <w:tcPr>
            <w:tcW w:type="dxa" w:w="86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WACC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 руб.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0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18,0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8%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Ставка дисконтирования будет взята равной ставки WACC, так как риски в расчеты стоимости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собственного капитала Оценщиком заложены максимальные </w:t>
            </w:r>
          </w:p>
        </w:tc>
      </w:tr>
      <w:tr>
        <w:trPr>
          <w:trHeight w:hRule="exact" w:val="928"/>
        </w:trPr>
        <w:tc>
          <w:tcPr>
            <w:tcW w:type="dxa" w:w="828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6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выруч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ки </w:t>
            </w:r>
          </w:p>
        </w:tc>
        <w:tc>
          <w:tcPr>
            <w:tcW w:type="dxa" w:w="616"/>
            <w:tcBorders>
              <w:start w:sz="3.2000000000000455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4% </w:t>
            </w:r>
          </w:p>
        </w:tc>
        <w:tc>
          <w:tcPr>
            <w:tcW w:type="dxa" w:w="86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Учитывая тот факт, что стабильность темпа роста выручка компании отсутствует. Данный темп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роста рассчитан как базовый показатель роста индекса изменения цен до 2036 года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(Приложение№3 к отчету) </w:t>
            </w:r>
          </w:p>
        </w:tc>
      </w:tr>
    </w:tbl>
    <w:p>
      <w:pPr>
        <w:autoSpaceDN w:val="0"/>
        <w:autoSpaceDE w:val="0"/>
        <w:widowControl/>
        <w:spacing w:line="276" w:lineRule="exact" w:before="0" w:after="21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>Таблица 13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-7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. Расчет премии за специфический риск компании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32"/>
        <w:gridCol w:w="2532"/>
        <w:gridCol w:w="2532"/>
        <w:gridCol w:w="2532"/>
      </w:tblGrid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Премия за специфический риск компании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1-низкая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2 - средняя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высокая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Колебания цен на сырье и материалы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Риск ключевой фигуры в управлении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Компетентность руководства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покупателей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Зависимость от ключевых поставщиков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Перспективы развития отрасли и предприятия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Состояние основных фондов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Финансовое состояние бизнеса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3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Возможность привлечения капитальных вложений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/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 значений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 </w:t>
            </w:r>
          </w:p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Количество факторов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553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1,56 </w:t>
            </w:r>
          </w:p>
        </w:tc>
        <w:tc>
          <w:tcPr>
            <w:tcW w:type="dxa" w:w="120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02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197" w:lineRule="auto" w:before="29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50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76" w:lineRule="exact" w:before="0" w:after="206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13-8. Рыночная премия.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026"/>
        <w:gridCol w:w="2026"/>
        <w:gridCol w:w="2026"/>
        <w:gridCol w:w="2026"/>
        <w:gridCol w:w="2026"/>
      </w:tblGrid>
      <w:tr>
        <w:trPr>
          <w:trHeight w:hRule="exact" w:val="564"/>
        </w:trPr>
        <w:tc>
          <w:tcPr>
            <w:tcW w:type="dxa" w:w="8300"/>
            <w:gridSpan w:val="5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" w:after="0"/>
              <w:ind w:left="2516" w:right="46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Geometric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Average </w:t>
            </w:r>
          </w:p>
        </w:tc>
      </w:tr>
      <w:tr>
        <w:trPr>
          <w:trHeight w:hRule="exact" w:val="326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1928-2022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9,64%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3,29%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4,57%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6,68% </w:t>
            </w:r>
          </w:p>
        </w:tc>
      </w:tr>
      <w:tr>
        <w:trPr>
          <w:trHeight w:hRule="exact" w:val="322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10,24%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4,37%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8,43% </w:t>
            </w:r>
          </w:p>
        </w:tc>
      </w:tr>
      <w:tr>
        <w:trPr>
          <w:trHeight w:hRule="exact" w:val="328"/>
        </w:trPr>
        <w:tc>
          <w:tcPr>
            <w:tcW w:type="dxa" w:w="240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2013-2022 </w:t>
            </w:r>
          </w:p>
        </w:tc>
        <w:tc>
          <w:tcPr>
            <w:tcW w:type="dxa" w:w="163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12,44% </w:t>
            </w:r>
          </w:p>
        </w:tc>
        <w:tc>
          <w:tcPr>
            <w:tcW w:type="dxa" w:w="120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0,94% </w:t>
            </w:r>
          </w:p>
        </w:tc>
        <w:tc>
          <w:tcPr>
            <w:tcW w:type="dxa" w:w="147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0,12% </w:t>
            </w:r>
          </w:p>
        </w:tc>
        <w:tc>
          <w:tcPr>
            <w:tcW w:type="dxa" w:w="157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3,45% </w:t>
            </w:r>
          </w:p>
        </w:tc>
      </w:tr>
    </w:tbl>
    <w:p>
      <w:pPr>
        <w:autoSpaceDN w:val="0"/>
        <w:autoSpaceDE w:val="0"/>
        <w:widowControl/>
        <w:spacing w:line="276" w:lineRule="exact" w:before="496" w:after="208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13-9. Расчет доли в инвестированном капитале.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3377"/>
        <w:gridCol w:w="3377"/>
        <w:gridCol w:w="3377"/>
      </w:tblGrid>
      <w:tr>
        <w:trPr>
          <w:trHeight w:hRule="exact" w:val="628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Наименование показателя </w:t>
            </w:r>
          </w:p>
        </w:tc>
        <w:tc>
          <w:tcPr>
            <w:tcW w:type="dxa" w:w="83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D/E </w:t>
            </w:r>
          </w:p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0455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Доля в инвестированном капитале </w:t>
            </w:r>
          </w:p>
        </w:tc>
      </w:tr>
      <w:tr>
        <w:trPr>
          <w:trHeight w:hRule="exact" w:val="548"/>
        </w:trPr>
        <w:tc>
          <w:tcPr>
            <w:tcW w:type="dxa" w:w="269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Заемный капитал </w:t>
            </w:r>
          </w:p>
        </w:tc>
        <w:tc>
          <w:tcPr>
            <w:tcW w:type="dxa" w:w="834"/>
            <w:vMerge w:val="restart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54,30% </w:t>
            </w:r>
          </w:p>
        </w:tc>
        <w:tc>
          <w:tcPr>
            <w:tcW w:type="dxa" w:w="3418"/>
            <w:tcBorders>
              <w:start w:sz="4.0" w:val="single" w:color="#000000"/>
              <w:top w:sz="3.2000000000000455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35,19% </w:t>
            </w:r>
          </w:p>
        </w:tc>
      </w:tr>
      <w:tr>
        <w:trPr>
          <w:trHeight w:hRule="exact" w:val="586"/>
        </w:trPr>
        <w:tc>
          <w:tcPr>
            <w:tcW w:type="dxa" w:w="26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Собственный капитал </w:t>
            </w:r>
          </w:p>
        </w:tc>
        <w:tc>
          <w:tcPr>
            <w:tcW w:type="dxa" w:w="3377"/>
            <w:vMerge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41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64,81% </w:t>
            </w:r>
          </w:p>
        </w:tc>
      </w:tr>
    </w:tbl>
    <w:p>
      <w:pPr>
        <w:autoSpaceDN w:val="0"/>
        <w:autoSpaceDE w:val="0"/>
        <w:widowControl/>
        <w:spacing w:line="276" w:lineRule="exact" w:before="4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Рисунок 13-5. Средневзвешенные процентные ставки по кредитам в рублях, % годовых. </w:t>
      </w:r>
    </w:p>
    <w:p>
      <w:pPr>
        <w:autoSpaceDN w:val="0"/>
        <w:autoSpaceDE w:val="0"/>
        <w:widowControl/>
        <w:spacing w:line="240" w:lineRule="auto" w:before="208" w:after="0"/>
        <w:ind w:left="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6390" cy="24765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476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exact" w:before="236" w:after="0"/>
        <w:ind w:left="0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Источник информации: https://cbr.ru/statistics/bank_sector/int_rat/1122/ </w:t>
      </w:r>
    </w:p>
    <w:p>
      <w:pPr>
        <w:autoSpaceDN w:val="0"/>
        <w:autoSpaceDE w:val="0"/>
        <w:widowControl/>
        <w:spacing w:line="276" w:lineRule="exact" w:before="67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13-10. Расчет рыночной стоимости НМА методом МЕЕМ </w:t>
      </w:r>
    </w:p>
    <w:p>
      <w:pPr>
        <w:autoSpaceDN w:val="0"/>
        <w:autoSpaceDE w:val="0"/>
        <w:widowControl/>
        <w:spacing w:line="197" w:lineRule="auto" w:before="316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51 </w:t>
      </w:r>
    </w:p>
    <w:p>
      <w:pPr>
        <w:sectPr>
          <w:pgSz w:w="11906" w:h="16838"/>
          <w:pgMar w:top="340" w:right="644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255"/>
        </w:trPr>
        <w:tc>
          <w:tcPr>
            <w:tcW w:type="dxa" w:w="9958"/>
            <w:gridSpan w:val="7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Расчет стоимости ПО методом МЕЕМ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Показатель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2025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2026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ПП2028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EBITDA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222 822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196 549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206 168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216 699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228 010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236 191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EBIT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4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173 741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180 691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187 919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195 435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203 253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211 383</w:t>
            </w:r>
          </w:p>
        </w:tc>
      </w:tr>
      <w:tr>
        <w:trPr>
          <w:trHeight w:hRule="exact" w:val="54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Налог на прибыль (3%; с 2022-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2024 г-0%)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17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-         5 638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5 863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6 098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-         6 341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Чистый доход на капитал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173 741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180 691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182 281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189 572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197 155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205 042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Амортизация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6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24 808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Возврат инвестиций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-49 081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-15 858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-18 249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-21 264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-24 757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-24 808</w:t>
            </w:r>
          </w:p>
        </w:tc>
      </w:tr>
      <w:tr>
        <w:trPr>
          <w:trHeight w:hRule="exact" w:val="256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Доход на инвестиции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6 905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5 461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4 428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3 638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3 221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  2 924 </w:t>
            </w:r>
          </w:p>
        </w:tc>
      </w:tr>
      <w:tr>
        <w:trPr>
          <w:trHeight w:hRule="exact" w:val="254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Остаточный денежный 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166 836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175 230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177 853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185 934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193 934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202 118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Фактор дисконтирования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0,9157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0,7755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0,6567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8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0,5562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0,5118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36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0,471</w:t>
            </w:r>
          </w:p>
        </w:tc>
      </w:tr>
      <w:tr>
        <w:trPr>
          <w:trHeight w:hRule="exact" w:val="510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4" w:after="0"/>
              <w:ind w:left="28" w:right="288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Дисконтированный денежный </w:t>
            </w: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поток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152 772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135 891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116 796 </w:t>
            </w:r>
          </w:p>
        </w:tc>
        <w:tc>
          <w:tcPr>
            <w:tcW w:type="dxa" w:w="115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103 416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99 255 </w:t>
            </w:r>
          </w:p>
        </w:tc>
        <w:tc>
          <w:tcPr>
            <w:tcW w:type="dxa" w:w="1154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98" w:after="0"/>
              <w:ind w:left="0" w:right="0" w:firstLine="0"/>
              <w:jc w:val="center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         95 198 </w:t>
            </w:r>
          </w:p>
        </w:tc>
      </w:tr>
      <w:tr>
        <w:trPr>
          <w:trHeight w:hRule="exact" w:val="255"/>
        </w:trPr>
        <w:tc>
          <w:tcPr>
            <w:tcW w:type="dxa" w:w="3030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28" w:right="0" w:firstLine="0"/>
              <w:jc w:val="lef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>Итого, стоимость НМА</w:t>
            </w:r>
          </w:p>
        </w:tc>
        <w:tc>
          <w:tcPr>
            <w:tcW w:type="dxa" w:w="6928"/>
            <w:gridSpan w:val="6"/>
            <w:tcBorders>
              <w:start w:sz="6.0" w:val="single" w:color="#000000"/>
              <w:top w:sz="6.0" w:val="single" w:color="#000000"/>
              <w:end w:sz="6.0" w:val="single" w:color="#000000"/>
              <w:bottom w:sz="6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4" w:after="0"/>
              <w:ind w:left="0" w:right="0" w:firstLine="0"/>
              <w:jc w:val="right"/>
            </w:pPr>
            <w:r>
              <w:rPr>
                <w:w w:val="102.62907931679173"/>
                <w:rFonts w:ascii="Calibri" w:hAnsi="Calibri" w:eastAsia="Calibri"/>
                <w:b w:val="0"/>
                <w:i w:val="0"/>
                <w:color w:val="000000"/>
                <w:sz w:val="19"/>
              </w:rPr>
              <w:t xml:space="preserve"> 703 328   </w:t>
            </w:r>
          </w:p>
        </w:tc>
      </w:tr>
    </w:tbl>
    <w:p>
      <w:pPr>
        <w:autoSpaceDN w:val="0"/>
        <w:autoSpaceDE w:val="0"/>
        <w:widowControl/>
        <w:spacing w:line="320" w:lineRule="exact" w:before="206" w:after="0"/>
        <w:ind w:left="0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Учитывая задачу оценки, расчет стоимости исключительного (авторского и смежного) права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англоязычную версию программного обеспечения «tNAVIGATOR», на английском, испанском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китайском языках на территории всех стран мира за исключением России, Белоруссии и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Казахстана, Оценщик для разделения программ на версии русифицированную и англоязычную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версию программного обеспечения «tNAVIGATOR», использовал данные по расшифровке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выручки за 2017-2021 года в зависимости от клиентов пользующихся этой программой. </w:t>
      </w:r>
    </w:p>
    <w:p>
      <w:pPr>
        <w:autoSpaceDN w:val="0"/>
        <w:autoSpaceDE w:val="0"/>
        <w:widowControl/>
        <w:spacing w:line="276" w:lineRule="exact" w:before="212" w:after="208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13-11. Расчет среднего процента в зависимости от контрагентов в выручке за ретроспективный период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1449"/>
        <w:gridCol w:w="1449"/>
        <w:gridCol w:w="1449"/>
        <w:gridCol w:w="1449"/>
        <w:gridCol w:w="1449"/>
        <w:gridCol w:w="1449"/>
        <w:gridCol w:w="1449"/>
      </w:tblGrid>
      <w:tr>
        <w:trPr>
          <w:trHeight w:hRule="exact" w:val="93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08" w:after="0"/>
              <w:ind w:left="106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Расчет выручки по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клиентам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2017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2018 год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2019 год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2020 год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64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2021 год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c5d9f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Стабильно </w:t>
            </w:r>
          </w:p>
          <w:p>
            <w:pPr>
              <w:autoSpaceDN w:val="0"/>
              <w:autoSpaceDE w:val="0"/>
              <w:widowControl/>
              <w:spacing w:line="230" w:lineRule="exact" w:before="4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постоянное значение,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за минусом выброса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% </w:t>
            </w:r>
          </w:p>
        </w:tc>
      </w:tr>
      <w:tr>
        <w:trPr>
          <w:trHeight w:hRule="exact" w:val="264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Выручка, тыс. руб.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650 517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966 327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1 071 460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958 113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2 051 508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INT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309824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559586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485097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185201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968334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Клиенты RU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340693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406741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586363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772912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1083174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2"/>
        </w:trPr>
        <w:tc>
          <w:tcPr>
            <w:tcW w:type="dxa" w:w="251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Средний процент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клиентов INT, % </w:t>
            </w:r>
          </w:p>
        </w:tc>
        <w:tc>
          <w:tcPr>
            <w:tcW w:type="dxa" w:w="101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48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58 </w:t>
            </w:r>
          </w:p>
        </w:tc>
        <w:tc>
          <w:tcPr>
            <w:tcW w:type="dxa" w:w="104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45 </w:t>
            </w:r>
          </w:p>
        </w:tc>
        <w:tc>
          <w:tcPr>
            <w:tcW w:type="dxa" w:w="1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 </w:t>
            </w:r>
          </w:p>
        </w:tc>
        <w:tc>
          <w:tcPr>
            <w:tcW w:type="dxa" w:w="10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  <w:tc>
          <w:tcPr>
            <w:tcW w:type="dxa" w:w="223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47 </w:t>
            </w:r>
          </w:p>
        </w:tc>
      </w:tr>
    </w:tbl>
    <w:p>
      <w:pPr>
        <w:autoSpaceDN w:val="0"/>
        <w:autoSpaceDE w:val="0"/>
        <w:widowControl/>
        <w:spacing w:line="376" w:lineRule="exact" w:before="0" w:after="20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Таким образом, на дату оценки ожидаемый минимальный процент пользователей англоязычной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версии программы составляет 47%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13-12. Расчет рыночной стоимости объекта оценки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5073"/>
        <w:gridCol w:w="5073"/>
      </w:tblGrid>
      <w:tr>
        <w:trPr>
          <w:trHeight w:hRule="exact" w:val="774"/>
        </w:trPr>
        <w:tc>
          <w:tcPr>
            <w:tcW w:type="dxa" w:w="396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Показатель </w:t>
            </w:r>
          </w:p>
        </w:tc>
        <w:tc>
          <w:tcPr>
            <w:tcW w:type="dxa" w:w="326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b8cce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9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Рыночная стоимость, тыс. руб. </w:t>
            </w:r>
          </w:p>
        </w:tc>
      </w:tr>
      <w:tr>
        <w:trPr>
          <w:trHeight w:hRule="exact" w:val="268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Итого, стоимость НМА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703 328 </w:t>
            </w:r>
          </w:p>
        </w:tc>
      </w:tr>
      <w:tr>
        <w:trPr>
          <w:trHeight w:hRule="exact" w:val="262"/>
        </w:trPr>
        <w:tc>
          <w:tcPr>
            <w:tcW w:type="dxa" w:w="396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Англоязычная версия программы </w:t>
            </w:r>
          </w:p>
        </w:tc>
        <w:tc>
          <w:tcPr>
            <w:tcW w:type="dxa" w:w="326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330 564 </w:t>
            </w:r>
          </w:p>
        </w:tc>
      </w:tr>
    </w:tbl>
    <w:p>
      <w:pPr>
        <w:autoSpaceDN w:val="0"/>
        <w:autoSpaceDE w:val="0"/>
        <w:widowControl/>
        <w:spacing w:line="264" w:lineRule="exact" w:before="512" w:after="0"/>
        <w:ind w:left="0" w:right="30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13-13. Расчет рыночной стоимости исключительного (авторского и смежного) права на англоязычную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версию программного обеспечения «tNAVIGATOR», на английском, испанском и китайском языках на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территории всех стран мира за исключением России, Белоруссии и Казахстана, рассчитанного с применением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доходного подхода на 09 декабря 2022 года. </w:t>
      </w:r>
    </w:p>
    <w:p>
      <w:pPr>
        <w:autoSpaceDN w:val="0"/>
        <w:autoSpaceDE w:val="0"/>
        <w:widowControl/>
        <w:spacing w:line="197" w:lineRule="auto" w:before="902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52 </w:t>
      </w:r>
    </w:p>
    <w:p>
      <w:pPr>
        <w:sectPr>
          <w:pgSz w:w="11906" w:h="16838"/>
          <w:pgMar w:top="340" w:right="628" w:bottom="49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76"/>
        <w:gridCol w:w="3476"/>
        <w:gridCol w:w="3476"/>
      </w:tblGrid>
      <w:tr>
        <w:trPr>
          <w:trHeight w:hRule="exact" w:val="656"/>
        </w:trPr>
        <w:tc>
          <w:tcPr>
            <w:tcW w:type="dxa" w:w="704"/>
            <w:tcBorders>
              <w:start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709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7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Рыночная стоимость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 09.12.2022 г., в руб. </w:t>
            </w:r>
          </w:p>
        </w:tc>
      </w:tr>
      <w:tr>
        <w:trPr>
          <w:trHeight w:hRule="exact" w:val="4920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70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68"/>
              <w:ind w:left="106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программного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обеспечения «tNAVIGATOR», на английском, испанском и китайском языках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территории всех стран мира за исключением России, Белоруссии и Казахстана, в 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548"/>
              <w:gridCol w:w="3548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8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1008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54" w:val="left"/>
                <w:tab w:pos="1242" w:val="left"/>
              </w:tabs>
              <w:autoSpaceDE w:val="0"/>
              <w:widowControl/>
              <w:spacing w:line="226" w:lineRule="exact" w:before="1908" w:after="0"/>
              <w:ind w:left="152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(Триста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тридцать 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20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миллионов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пятьсот </w:t>
            </w:r>
          </w:p>
          <w:p>
            <w:pPr>
              <w:autoSpaceDN w:val="0"/>
              <w:tabs>
                <w:tab w:pos="1492" w:val="left"/>
              </w:tabs>
              <w:autoSpaceDE w:val="0"/>
              <w:widowControl/>
              <w:spacing w:line="24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четыре </w:t>
            </w:r>
            <w:r>
              <w:rPr>
                <w:rFonts w:ascii="TimesNewRomanPS" w:hAnsi="TimesNewRomanPS" w:eastAsia="TimesNewRomanPS"/>
                <w:b/>
                <w:i/>
                <w:color w:val="000000"/>
                <w:sz w:val="20"/>
              </w:rPr>
              <w:t xml:space="preserve">тысячи рублей) </w:t>
            </w:r>
          </w:p>
        </w:tc>
      </w:tr>
    </w:tbl>
    <w:p>
      <w:pPr>
        <w:autoSpaceDN w:val="0"/>
        <w:autoSpaceDE w:val="0"/>
        <w:widowControl/>
        <w:spacing w:line="306" w:lineRule="exact" w:before="196" w:after="0"/>
        <w:ind w:left="0" w:right="327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13.8.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Согласование результатов оценки</w:t>
      </w:r>
    </w:p>
    <w:p>
      <w:pPr>
        <w:autoSpaceDN w:val="0"/>
        <w:autoSpaceDE w:val="0"/>
        <w:widowControl/>
        <w:spacing w:line="266" w:lineRule="exact" w:before="2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Согласование результатов оценки не требуется ввиду применения одного доходного подхода </w:t>
      </w:r>
    </w:p>
    <w:p>
      <w:pPr>
        <w:autoSpaceDN w:val="0"/>
        <w:autoSpaceDE w:val="0"/>
        <w:widowControl/>
        <w:spacing w:line="320" w:lineRule="exact" w:before="12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методом расчета стоимости замещения. </w:t>
      </w:r>
    </w:p>
    <w:p>
      <w:pPr>
        <w:autoSpaceDN w:val="0"/>
        <w:autoSpaceDE w:val="0"/>
        <w:widowControl/>
        <w:spacing w:line="320" w:lineRule="exact" w:before="19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По мнению Оценщика, рыночная стоимость объекта оценки на 09 декабря 2022 года составила: </w:t>
      </w:r>
    </w:p>
    <w:p>
      <w:pPr>
        <w:autoSpaceDN w:val="0"/>
        <w:autoSpaceDE w:val="0"/>
        <w:widowControl/>
        <w:spacing w:line="276" w:lineRule="exact" w:before="210" w:after="208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13-14. Рыночная стоимость объекта оценки с применением различных подходов.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2086"/>
        <w:gridCol w:w="2086"/>
        <w:gridCol w:w="2086"/>
        <w:gridCol w:w="2086"/>
        <w:gridCol w:w="2086"/>
      </w:tblGrid>
      <w:tr>
        <w:trPr>
          <w:trHeight w:hRule="exact" w:val="704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1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Затратный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подход, в руб. 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34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Сравнительный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подход, в руб. 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82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Доходный подход,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  <w:tr>
        <w:trPr>
          <w:trHeight w:hRule="exact" w:val="5542"/>
        </w:trPr>
        <w:tc>
          <w:tcPr>
            <w:tcW w:type="dxa" w:w="7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458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" w:after="4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0.0" w:type="dxa"/>
            </w:tblPr>
            <w:tblGrid>
              <w:gridCol w:w="1146"/>
              <w:gridCol w:w="1146"/>
              <w:gridCol w:w="1146"/>
              <w:gridCol w:w="1146"/>
            </w:tblGrid>
            <w:tr>
              <w:trPr>
                <w:trHeight w:hRule="exact" w:val="204"/>
              </w:trPr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программного </w:t>
                  </w:r>
                </w:p>
              </w:tc>
              <w:tc>
                <w:tcPr>
                  <w:tcW w:type="dxa" w:w="1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обеспечения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6" w:right="6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России, Белоруссии и Казахстана, в том числе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2293"/>
              <w:gridCol w:w="2293"/>
            </w:tblGrid>
            <w:tr>
              <w:trPr>
                <w:trHeight w:hRule="exact" w:val="4102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6" w:lineRule="exact" w:before="84" w:after="0"/>
                    <w:ind w:left="246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</w:p>
                <w:p>
                  <w:pPr>
                    <w:autoSpaceDN w:val="0"/>
                    <w:autoSpaceDE w:val="0"/>
                    <w:widowControl/>
                    <w:spacing w:line="226" w:lineRule="exact" w:before="190" w:after="0"/>
                    <w:ind w:left="246" w:right="304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3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Analysis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50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72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7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Обоснованный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отказ</w:t>
            </w:r>
          </w:p>
        </w:tc>
        <w:tc>
          <w:tcPr>
            <w:tcW w:type="dxa" w:w="1890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20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330 564 000,00</w:t>
            </w:r>
          </w:p>
        </w:tc>
      </w:tr>
    </w:tbl>
    <w:p>
      <w:pPr>
        <w:autoSpaceDN w:val="0"/>
        <w:autoSpaceDE w:val="0"/>
        <w:widowControl/>
        <w:spacing w:line="197" w:lineRule="auto" w:before="60" w:after="0"/>
        <w:ind w:left="0" w:right="5230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53 </w:t>
      </w:r>
    </w:p>
    <w:p>
      <w:pPr>
        <w:sectPr>
          <w:pgSz w:w="11906" w:h="16838"/>
          <w:pgMar w:top="340" w:right="350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p>
      <w:pPr>
        <w:autoSpaceDN w:val="0"/>
        <w:autoSpaceDE w:val="0"/>
        <w:widowControl/>
        <w:spacing w:line="280" w:lineRule="exact" w:before="864" w:after="0"/>
        <w:ind w:left="4" w:right="0" w:firstLine="31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14. РЕЗУЛЬТАТЫ ОЦЕНКИ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В соответствии с Договором на проведение оценки № О-0912/2022 от 09.12.2022г., заключенным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между: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Общество с ограниченной ответственностью «Универсальные бизнес технологии»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(Исполнитель)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Общество с ограниченной ответственностью «Рок Флоу Динамикс»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(Заказчик)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Оценщик Исполнителя провел оценку рыночной стоимости объекта оценки –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Исключительное (авторское и смежное) право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обеспечения «tNAVIGATOR», на английском, испанском и китайском языках на территории всех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стран мира за исключением России, Белоруссии и Казахстана, принадлежащие ООО «РфД» на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праве собственности. </w:t>
      </w:r>
    </w:p>
    <w:p>
      <w:pPr>
        <w:autoSpaceDN w:val="0"/>
        <w:autoSpaceDE w:val="0"/>
        <w:widowControl/>
        <w:spacing w:line="276" w:lineRule="exact" w:before="130" w:after="136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14-1 Основные факты и выводы по Отчёту об оценке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075"/>
        <w:gridCol w:w="5075"/>
      </w:tblGrid>
      <w:tr>
        <w:trPr>
          <w:trHeight w:hRule="exact" w:val="4924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Объект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8.000000000000114" w:type="dxa"/>
            </w:tblPr>
            <w:tblGrid>
              <w:gridCol w:w="850"/>
              <w:gridCol w:w="850"/>
              <w:gridCol w:w="850"/>
              <w:gridCol w:w="850"/>
              <w:gridCol w:w="850"/>
              <w:gridCol w:w="850"/>
              <w:gridCol w:w="850"/>
              <w:gridCol w:w="850"/>
            </w:tblGrid>
            <w:tr>
              <w:trPr>
                <w:trHeight w:hRule="exact" w:val="210"/>
              </w:trPr>
              <w:tc>
                <w:tcPr>
                  <w:tcW w:type="dxa" w:w="1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Исключительное </w:t>
                  </w:r>
                </w:p>
              </w:tc>
              <w:tc>
                <w:tcPr>
                  <w:tcW w:type="dxa" w:w="1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(авторское </w:t>
                  </w:r>
                </w:p>
              </w:tc>
              <w:tc>
                <w:tcPr>
                  <w:tcW w:type="dxa" w:w="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и </w:t>
                  </w:r>
                </w:p>
              </w:tc>
              <w:tc>
                <w:tcPr>
                  <w:tcW w:type="dxa" w:w="9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смежное) 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право </w:t>
                  </w:r>
                </w:p>
              </w:tc>
              <w:tc>
                <w:tcPr>
                  <w:tcW w:type="dxa" w:w="3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на </w:t>
                  </w:r>
                </w:p>
              </w:tc>
              <w:tc>
                <w:tcPr>
                  <w:tcW w:type="dxa" w:w="1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англоязычную </w:t>
                  </w:r>
                </w:p>
              </w:tc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версию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5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китайском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языках на территории всех стран мира за исключением России, Белоруссии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18.0000000000001" w:type="dxa"/>
            </w:tblPr>
            <w:tblGrid>
              <w:gridCol w:w="3402"/>
              <w:gridCol w:w="3402"/>
            </w:tblGrid>
            <w:tr>
              <w:trPr>
                <w:trHeight w:hRule="exact" w:val="3896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4" w:right="306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50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30" w:right="86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Вид определяемой стоимости </w:t>
            </w:r>
          </w:p>
        </w:tc>
        <w:tc>
          <w:tcPr>
            <w:tcW w:type="dxa" w:w="680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Рыночная стоимость </w:t>
            </w:r>
          </w:p>
        </w:tc>
      </w:tr>
      <w:tr>
        <w:trPr>
          <w:trHeight w:hRule="exact" w:val="398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Цель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Определение рыночной стоимости </w:t>
            </w:r>
          </w:p>
        </w:tc>
      </w:tr>
      <w:tr>
        <w:trPr>
          <w:trHeight w:hRule="exact" w:val="862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96" w:val="left"/>
              </w:tabs>
              <w:autoSpaceDE w:val="0"/>
              <w:widowControl/>
              <w:spacing w:line="230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Назначение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оценки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(предполагаемое использование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отчёта об оценке)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Настоящий Отчет может быть использован как документ, определяющий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рыночную стоимость объекта оценки консультирования Заказчика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возможного заключения договора цессии (переуступка прав) </w:t>
            </w:r>
          </w:p>
        </w:tc>
      </w:tr>
      <w:tr>
        <w:trPr>
          <w:trHeight w:hRule="exact" w:val="86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Ограничения по использованию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отчёта об оценке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0" w:after="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Любое иное использование отчета об оценке, как документа, содержащего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сведения доказательственного значения, возможно только с согласия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Оценщика, выраженного в письменной форме. </w:t>
            </w:r>
          </w:p>
        </w:tc>
      </w:tr>
      <w:tr>
        <w:trPr>
          <w:trHeight w:hRule="exact" w:val="400"/>
        </w:trPr>
        <w:tc>
          <w:tcPr>
            <w:tcW w:type="dxa" w:w="32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Дата оценки </w:t>
            </w:r>
          </w:p>
        </w:tc>
        <w:tc>
          <w:tcPr>
            <w:tcW w:type="dxa" w:w="6804"/>
            <w:tcBorders>
              <w:start w:sz="4.0" w:val="single" w:color="#000000"/>
              <w:top w:sz="4.0" w:val="single" w:color="#000000"/>
              <w:end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 декабря 2022 года </w:t>
            </w:r>
          </w:p>
        </w:tc>
      </w:tr>
    </w:tbl>
    <w:p>
      <w:pPr>
        <w:autoSpaceDN w:val="0"/>
        <w:tabs>
          <w:tab w:pos="714" w:val="left"/>
        </w:tabs>
        <w:autoSpaceDE w:val="0"/>
        <w:widowControl/>
        <w:spacing w:line="276" w:lineRule="exact" w:before="44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В результате проведённого анализа и расчётов, Оценщик свидетельствует, что рыночная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стоимость на дату оценки 09 декабря 2022 г. составила: </w:t>
      </w:r>
    </w:p>
    <w:p>
      <w:pPr>
        <w:autoSpaceDN w:val="0"/>
        <w:autoSpaceDE w:val="0"/>
        <w:widowControl/>
        <w:spacing w:line="276" w:lineRule="exact" w:before="196" w:after="256"/>
        <w:ind w:left="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Таблица 14-2. Итоговая рыночная стоимость объекта оценки.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83"/>
        <w:gridCol w:w="3383"/>
        <w:gridCol w:w="3383"/>
      </w:tblGrid>
      <w:tr>
        <w:trPr>
          <w:trHeight w:hRule="exact" w:val="654"/>
        </w:trPr>
        <w:tc>
          <w:tcPr>
            <w:tcW w:type="dxa" w:w="9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№п/п </w:t>
            </w:r>
          </w:p>
        </w:tc>
        <w:tc>
          <w:tcPr>
            <w:tcW w:type="dxa" w:w="655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6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Наименование объекта оценки </w:t>
            </w:r>
          </w:p>
        </w:tc>
        <w:tc>
          <w:tcPr>
            <w:tcW w:type="dxa" w:w="22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ddebf7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exact" w:before="138" w:after="0"/>
              <w:ind w:left="144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Рыночная стоимость,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в руб. </w:t>
            </w:r>
          </w:p>
        </w:tc>
      </w:tr>
    </w:tbl>
    <w:p>
      <w:pPr>
        <w:autoSpaceDN w:val="0"/>
        <w:autoSpaceDE w:val="0"/>
        <w:widowControl/>
        <w:spacing w:line="197" w:lineRule="auto" w:before="50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54 </w:t>
      </w:r>
    </w:p>
    <w:p>
      <w:pPr>
        <w:sectPr>
          <w:pgSz w:w="11906" w:h="16838"/>
          <w:pgMar w:top="340" w:right="628" w:bottom="492" w:left="112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230" w:lineRule="exact" w:before="36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Отчет об оценке № О-0912/2022 рыночной стоимости исключительного права на англоязычную версию программного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обеспечения «tNAVIGATOR», принадлежащего ООО «РфД».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Дата оценки: 09.12.2022г.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378"/>
        <w:gridCol w:w="3378"/>
        <w:gridCol w:w="3378"/>
      </w:tblGrid>
      <w:tr>
        <w:trPr>
          <w:trHeight w:hRule="exact" w:val="4920"/>
        </w:trPr>
        <w:tc>
          <w:tcPr>
            <w:tcW w:type="dxa" w:w="962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6554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0" w:after="70"/>
              <w:ind w:left="102" w:right="6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Исключительное (авторское и смежное) право на англоязычную версию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программного обеспечения «tNAVIGATOR», на английском, испанском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китайском языках на территории всех стран мира за исключением России,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Белоруссии и Казахстана, в том числе на следующие модули: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0.0" w:type="dxa"/>
            </w:tblPr>
            <w:tblGrid>
              <w:gridCol w:w="3277"/>
              <w:gridCol w:w="3277"/>
            </w:tblGrid>
            <w:tr>
              <w:trPr>
                <w:trHeight w:hRule="exact" w:val="3898"/>
              </w:trPr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78" w:after="0"/>
                    <w:ind w:left="242" w:right="310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>•</w:t>
                  </w:r>
                </w:p>
              </w:tc>
              <w:tc>
                <w:tcPr>
                  <w:tcW w:type="dxa" w:w="49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0" w:lineRule="exact" w:before="90" w:after="0"/>
                    <w:ind w:left="326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Model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Geology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Well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PVT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Network Designer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GUI (Graphical User Interface)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Black Oil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Compositional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Thermal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Multiple Realizations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Large Data Set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Simulation Results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Assisted History Matching and Uncertainty Analysis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Batch Jobs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Remote GUI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8"/>
                    </w:rPr>
                    <w:t xml:space="preserve">Manuals  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0"/>
                    </w:rPr>
                    <w:t xml:space="preserve">.;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80"/>
            <w:tcBorders>
              <w:start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6" w:val="left"/>
                <w:tab w:pos="1322" w:val="left"/>
                <w:tab w:pos="1454" w:val="left"/>
                <w:tab w:pos="1514" w:val="left"/>
              </w:tabs>
              <w:autoSpaceDE w:val="0"/>
              <w:widowControl/>
              <w:spacing w:line="224" w:lineRule="exact" w:before="19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330 564 000,00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 (Триста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тридцать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миллионов </w:t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пятьсот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шестьдесят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 xml:space="preserve">четыре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тысячи рублей)</w:t>
            </w:r>
          </w:p>
        </w:tc>
      </w:tr>
    </w:tbl>
    <w:p>
      <w:pPr>
        <w:autoSpaceDN w:val="0"/>
        <w:autoSpaceDE w:val="0"/>
        <w:widowControl/>
        <w:spacing w:line="9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2.0" w:type="dxa"/>
      </w:tblPr>
      <w:tblGrid>
        <w:gridCol w:w="5067"/>
        <w:gridCol w:w="5067"/>
      </w:tblGrid>
      <w:tr>
        <w:trPr>
          <w:trHeight w:hRule="exact" w:val="440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" w:after="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Оценщик 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35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Баранова О.И. </w:t>
            </w:r>
          </w:p>
        </w:tc>
      </w:tr>
    </w:tbl>
    <w:p>
      <w:pPr>
        <w:autoSpaceDN w:val="0"/>
        <w:autoSpaceDE w:val="0"/>
        <w:widowControl/>
        <w:spacing w:line="197" w:lineRule="auto" w:before="7930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55 </w:t>
      </w:r>
    </w:p>
    <w:sectPr w:rsidR="00FC693F" w:rsidRPr="0006063C" w:rsidSect="00034616">
      <w:pgSz w:w="11906" w:h="16838"/>
      <w:pgMar w:top="340" w:right="644" w:bottom="492" w:left="1128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zachestnyibiznes.ru/company/ul/1047702050483_7702364555_OOO-RFD" TargetMode="External"/><Relationship Id="rId13" Type="http://schemas.openxmlformats.org/officeDocument/2006/relationships/hyperlink" Target="https://aif.ru/politics/opinion/pochemu_v_rossii_ne_lyubyat_ameriku?from_inject=1" TargetMode="External"/><Relationship Id="rId14" Type="http://schemas.openxmlformats.org/officeDocument/2006/relationships/hyperlink" Target="https://ria.ru/20150418/1059381375.html" TargetMode="External"/><Relationship Id="rId15" Type="http://schemas.openxmlformats.org/officeDocument/2006/relationships/hyperlink" Target="http://government.ru/rugovclassifier/815/events/" TargetMode="External"/><Relationship Id="rId16" Type="http://schemas.openxmlformats.org/officeDocument/2006/relationships/hyperlink" Target="http://government.ru/docs/" TargetMode="External"/><Relationship Id="rId17" Type="http://schemas.openxmlformats.org/officeDocument/2006/relationships/hyperlink" Target="https://rosstat.gov.ru/storage/mediabank/osn-10-2022.pdf" TargetMode="External"/><Relationship Id="rId18" Type="http://schemas.openxmlformats.org/officeDocument/2006/relationships/hyperlink" Target="https://cbr.ru/key-indicators/" TargetMode="External"/><Relationship Id="rId19" Type="http://schemas.openxmlformats.org/officeDocument/2006/relationships/hyperlink" Target="https://cbr.ru/statistics/pdko/Mortgage/ML/" TargetMode="External"/><Relationship Id="rId20" Type="http://schemas.openxmlformats.org/officeDocument/2006/relationships/hyperlink" Target="https://cbr.ru/hd_base/mrrf/mrrf_7d/" TargetMode="External"/><Relationship Id="rId21" Type="http://schemas.openxmlformats.org/officeDocument/2006/relationships/hyperlink" Target="https://minfin.gov.ru/ru/perfomance/nationalwealthfund/statistics?id_57=27068-obem_fonda_natsionalnogo_blagosostoyaniya" TargetMode="External"/><Relationship Id="rId22" Type="http://schemas.openxmlformats.org/officeDocument/2006/relationships/hyperlink" Target="https://minfin.gov.ru/ru/perfomance/public_debt/external/structure?id_65=69444-gosudarstvennyi_vneshnii_dolg_rossiiskoi_federatsii_2011-2022_gg." TargetMode="External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5.png"/><Relationship Id="rId35" Type="http://schemas.openxmlformats.org/officeDocument/2006/relationships/image" Target="media/image16.png"/><Relationship Id="rId36" Type="http://schemas.openxmlformats.org/officeDocument/2006/relationships/image" Target="media/image17.png"/><Relationship Id="rId37" Type="http://schemas.openxmlformats.org/officeDocument/2006/relationships/image" Target="media/image18.png"/><Relationship Id="rId38" Type="http://schemas.openxmlformats.org/officeDocument/2006/relationships/hyperlink" Target="https://home.treasury.gov/resource-center/data-chart-center/interest-rates/TextView?type=daily_treasury_yield_curve&amp;field_tdr_date_value=2022" TargetMode="External"/><Relationship Id="rId39" Type="http://schemas.openxmlformats.org/officeDocument/2006/relationships/hyperlink" Target="https://pages.stern.nyu.edu/~adamodar/New_Home_Page/datafile/histretSP.html" TargetMode="External"/><Relationship Id="rId40" Type="http://schemas.openxmlformats.org/officeDocument/2006/relationships/hyperlink" Target="http://pages.stern.nyu.edu/~adamodar/New_Home_Page/datafile/ctryprem.html" TargetMode="External"/><Relationship Id="rId41" Type="http://schemas.openxmlformats.org/officeDocument/2006/relationships/hyperlink" Target="https://www.rusbonds.ru/BondCalc.aspx?bond_state=Market&amp;ftid=130058&amp;BondCalcDate=26.05.2021&amp;bondCalcRate=0&amp;bondCalcType=0&amp;Price_Type=0&amp;Price_Clear=100&amp;Price_Full=0&amp;Yield_Type=0&amp;Yield_1=0" TargetMode="External"/><Relationship Id="rId4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