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67D1C" w14:textId="5C3995E4" w:rsidR="00811754" w:rsidRPr="007F3D0E" w:rsidRDefault="00000000" w:rsidP="007F3D0E">
      <w:pPr>
        <w:pStyle w:val="Title"/>
        <w:pBdr>
          <w:bottom w:val="none" w:sz="0" w:space="0" w:color="auto"/>
        </w:pBdr>
        <w:jc w:val="center"/>
        <w:rPr>
          <w:rFonts w:ascii="Arial" w:hAnsi="Arial" w:cs="Arial"/>
          <w:b/>
          <w:bCs/>
          <w:color w:val="auto"/>
          <w:sz w:val="32"/>
          <w:szCs w:val="32"/>
        </w:rPr>
      </w:pPr>
      <w:r w:rsidRPr="007F3D0E">
        <w:rPr>
          <w:rFonts w:ascii="Arial" w:hAnsi="Arial" w:cs="Arial"/>
          <w:b/>
          <w:bCs/>
          <w:color w:val="auto"/>
          <w:sz w:val="32"/>
          <w:szCs w:val="32"/>
        </w:rPr>
        <w:t>Lesson 2 Summary – Interaction Design</w:t>
      </w:r>
    </w:p>
    <w:p w14:paraId="2DFA7CA8" w14:textId="128FC8DB" w:rsidR="00811754" w:rsidRPr="007F3D0E" w:rsidRDefault="00000000" w:rsidP="007F3D0E">
      <w:pPr>
        <w:pStyle w:val="Heading1"/>
        <w:numPr>
          <w:ilvl w:val="0"/>
          <w:numId w:val="10"/>
        </w:numPr>
        <w:rPr>
          <w:rFonts w:ascii="Arial" w:hAnsi="Arial" w:cs="Arial"/>
          <w:color w:val="auto"/>
        </w:rPr>
      </w:pPr>
      <w:r w:rsidRPr="007F3D0E">
        <w:rPr>
          <w:rFonts w:ascii="Arial" w:hAnsi="Arial" w:cs="Arial"/>
          <w:color w:val="auto"/>
        </w:rPr>
        <w:t>What Is Interaction Design?</w:t>
      </w:r>
    </w:p>
    <w:p w14:paraId="7D8CF891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Big picture: interaction design = designing interactive products to support how people live/work; user experience (UX) sits alongside usability, accessibility, and inclusiveness. Know the core UX/usability goals and design principles (feedback, simplicity, constraints, etc.).</w:t>
      </w:r>
    </w:p>
    <w:p w14:paraId="2428D414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Takeaway for this course: always tie design choices to UX goals, context of use, and user groups; use principles as quick heuristics to critique/improve interfaces.</w:t>
      </w:r>
    </w:p>
    <w:p w14:paraId="4D5CD16A" w14:textId="2F7111F7" w:rsidR="00811754" w:rsidRPr="007F3D0E" w:rsidRDefault="00000000" w:rsidP="007F3D0E">
      <w:pPr>
        <w:pStyle w:val="Heading1"/>
        <w:numPr>
          <w:ilvl w:val="0"/>
          <w:numId w:val="10"/>
        </w:numPr>
        <w:rPr>
          <w:rFonts w:ascii="Arial" w:hAnsi="Arial" w:cs="Arial"/>
          <w:color w:val="auto"/>
        </w:rPr>
      </w:pPr>
      <w:r w:rsidRPr="007F3D0E">
        <w:rPr>
          <w:rFonts w:ascii="Arial" w:hAnsi="Arial" w:cs="Arial"/>
          <w:color w:val="auto"/>
        </w:rPr>
        <w:t>Cognitive Aspects</w:t>
      </w:r>
    </w:p>
    <w:p w14:paraId="7CDABAA7" w14:textId="74B7DEDF" w:rsidR="00811754" w:rsidRPr="007F3D0E" w:rsidRDefault="00000000">
      <w:pPr>
        <w:pStyle w:val="Heading2"/>
        <w:rPr>
          <w:rFonts w:ascii="Arial" w:hAnsi="Arial" w:cs="Arial"/>
          <w:color w:val="auto"/>
        </w:rPr>
      </w:pPr>
      <w:r w:rsidRPr="007F3D0E">
        <w:rPr>
          <w:rFonts w:ascii="Arial" w:hAnsi="Arial" w:cs="Arial"/>
          <w:color w:val="auto"/>
        </w:rPr>
        <w:t xml:space="preserve">What </w:t>
      </w:r>
      <w:r w:rsidR="007F3D0E" w:rsidRPr="007F3D0E">
        <w:rPr>
          <w:rFonts w:ascii="Arial" w:hAnsi="Arial" w:cs="Arial"/>
          <w:color w:val="auto"/>
        </w:rPr>
        <w:t>does cognition</w:t>
      </w:r>
      <w:r w:rsidRPr="007F3D0E">
        <w:rPr>
          <w:rFonts w:ascii="Arial" w:hAnsi="Arial" w:cs="Arial"/>
          <w:color w:val="auto"/>
        </w:rPr>
        <w:t xml:space="preserve"> mean</w:t>
      </w:r>
      <w:r w:rsidR="007F3D0E" w:rsidRPr="007F3D0E">
        <w:rPr>
          <w:rFonts w:ascii="Arial" w:hAnsi="Arial" w:cs="Arial"/>
          <w:color w:val="auto"/>
        </w:rPr>
        <w:t>?</w:t>
      </w:r>
    </w:p>
    <w:p w14:paraId="6E378F21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Two modes: experiential/fast (intuitive, effortless) vs reflective/slow (deliberate, effortful). Design must respect both. Classic examples: driving/reading (experiential) vs learning/writing/designing (reflective).</w:t>
      </w:r>
    </w:p>
    <w:p w14:paraId="647AC592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Core processes that design touches: attention, perception, memory, learning, reading/speaking/listening, problem-solving &amp; decision-making. These co-occur in real tasks.</w:t>
      </w:r>
    </w:p>
    <w:p w14:paraId="54FA511F" w14:textId="77777777" w:rsidR="00811754" w:rsidRPr="007F3D0E" w:rsidRDefault="00000000">
      <w:pPr>
        <w:pStyle w:val="Heading2"/>
        <w:rPr>
          <w:rFonts w:ascii="Arial" w:hAnsi="Arial" w:cs="Arial"/>
          <w:color w:val="auto"/>
        </w:rPr>
      </w:pPr>
      <w:r w:rsidRPr="007F3D0E">
        <w:rPr>
          <w:rFonts w:ascii="Arial" w:hAnsi="Arial" w:cs="Arial"/>
          <w:color w:val="auto"/>
        </w:rPr>
        <w:t>Design implications you should remember</w:t>
      </w:r>
    </w:p>
    <w:p w14:paraId="2206FF5C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Favor recognition over recall (menus, histories, thumbnails) and avoid memory-heavy procedures. Provide cues: categories, color, flags, timestamps.</w:t>
      </w:r>
    </w:p>
    <w:p w14:paraId="017F31E2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Support different input/output channels: text size options; keep speech prompts short and well-intoned; many users find listening easier but reading can be faster—design for both.</w:t>
      </w:r>
    </w:p>
    <w:p w14:paraId="07A96D31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Externalize to reduce memory load: lists, checklists, reminders, timelines; enable computational offloading (calculators, wizards).</w:t>
      </w:r>
    </w:p>
    <w:p w14:paraId="09CEAC39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Overall: interfaces can extend human abilities and compensate for limits when they align with these cognitive realities.</w:t>
      </w:r>
    </w:p>
    <w:p w14:paraId="58B1C742" w14:textId="77777777" w:rsidR="00811754" w:rsidRPr="007F3D0E" w:rsidRDefault="00000000">
      <w:pPr>
        <w:pStyle w:val="Heading2"/>
        <w:rPr>
          <w:rFonts w:ascii="Arial" w:hAnsi="Arial" w:cs="Arial"/>
          <w:color w:val="auto"/>
        </w:rPr>
      </w:pPr>
      <w:r w:rsidRPr="007F3D0E">
        <w:rPr>
          <w:rFonts w:ascii="Arial" w:hAnsi="Arial" w:cs="Arial"/>
          <w:color w:val="auto"/>
        </w:rPr>
        <w:t>Frameworks you can name-drop</w:t>
      </w:r>
    </w:p>
    <w:p w14:paraId="3736082E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Mental models; gulfs of execution/evaluation; information/distributed/external cognition; embodied interaction—use them to explain, inform, and sometimes predict user behavior.</w:t>
      </w:r>
    </w:p>
    <w:p w14:paraId="2EE49CBC" w14:textId="77777777" w:rsidR="00811754" w:rsidRPr="007F3D0E" w:rsidRDefault="00000000">
      <w:pPr>
        <w:pStyle w:val="Heading2"/>
        <w:rPr>
          <w:rFonts w:ascii="Arial" w:hAnsi="Arial" w:cs="Arial"/>
          <w:color w:val="auto"/>
        </w:rPr>
      </w:pPr>
      <w:r w:rsidRPr="007F3D0E">
        <w:rPr>
          <w:rFonts w:ascii="Arial" w:hAnsi="Arial" w:cs="Arial"/>
          <w:color w:val="auto"/>
        </w:rPr>
        <w:t>Slide activities tied to Ch.4</w:t>
      </w:r>
    </w:p>
    <w:p w14:paraId="135DB1D7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Layout/search tasks (Tullis/Weller): spacing, grouping, and borders/whitespace speed up visual search even with the same info density. Use grouping and whitespace deliberately.</w:t>
      </w:r>
    </w:p>
    <w:p w14:paraId="0C7C3AE8" w14:textId="4BB4B0F6" w:rsidR="00811754" w:rsidRPr="007F3D0E" w:rsidRDefault="00000000" w:rsidP="007F3D0E">
      <w:pPr>
        <w:pStyle w:val="Heading1"/>
        <w:numPr>
          <w:ilvl w:val="0"/>
          <w:numId w:val="10"/>
        </w:numPr>
        <w:rPr>
          <w:rFonts w:ascii="Arial" w:hAnsi="Arial" w:cs="Arial"/>
          <w:color w:val="auto"/>
        </w:rPr>
      </w:pPr>
      <w:r w:rsidRPr="007F3D0E">
        <w:rPr>
          <w:rFonts w:ascii="Arial" w:hAnsi="Arial" w:cs="Arial"/>
          <w:color w:val="auto"/>
        </w:rPr>
        <w:lastRenderedPageBreak/>
        <w:t>Social Interaction</w:t>
      </w:r>
    </w:p>
    <w:p w14:paraId="14EC99CB" w14:textId="77777777" w:rsidR="00811754" w:rsidRPr="007F3D0E" w:rsidRDefault="00000000">
      <w:pPr>
        <w:pStyle w:val="Heading2"/>
        <w:rPr>
          <w:rFonts w:ascii="Arial" w:hAnsi="Arial" w:cs="Arial"/>
          <w:color w:val="auto"/>
        </w:rPr>
      </w:pPr>
      <w:r w:rsidRPr="007F3D0E">
        <w:rPr>
          <w:rFonts w:ascii="Arial" w:hAnsi="Arial" w:cs="Arial"/>
          <w:color w:val="auto"/>
        </w:rPr>
        <w:t>Key concepts</w:t>
      </w:r>
    </w:p>
    <w:p w14:paraId="53D4CD79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Being social online/offline: how social media changes relationships and etiquette; overlap with face-to-face networks.</w:t>
      </w:r>
    </w:p>
    <w:p w14:paraId="25DB74CC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Conversation mechanics: turn-taking and back-channel signals (“uh-huh”, “umm”) coordinate talk; failures and repairs differ across phone, email, chat, texting, video. Design should respect these patterns.</w:t>
      </w:r>
    </w:p>
    <w:p w14:paraId="6F1C87C7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Remote conversations &amp; presence: email, IM, video calls, chatrooms; some mimic F2F, others go beyond it (e.g., Hypermirror creating co-located feel; Sococo showing rooms/meetings). Consider telepresence and co-presence cues.</w:t>
      </w:r>
    </w:p>
    <w:p w14:paraId="3491DD0C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Awareness &amp; shareable interfaces: staying aware of others’ activities and making your own visible is vital for collaboration; shareable/multi-user surfaces help coordinate work.</w:t>
      </w:r>
    </w:p>
    <w:p w14:paraId="5AD9E3A8" w14:textId="77777777" w:rsidR="00811754" w:rsidRPr="007F3D0E" w:rsidRDefault="00000000">
      <w:pPr>
        <w:pStyle w:val="Heading2"/>
        <w:rPr>
          <w:rFonts w:ascii="Arial" w:hAnsi="Arial" w:cs="Arial"/>
          <w:color w:val="auto"/>
        </w:rPr>
      </w:pPr>
      <w:r w:rsidRPr="007F3D0E">
        <w:rPr>
          <w:rFonts w:ascii="Arial" w:hAnsi="Arial" w:cs="Arial"/>
          <w:color w:val="auto"/>
        </w:rPr>
        <w:t>Chapter 5 objectives (what you should be able to do)</w:t>
      </w:r>
    </w:p>
    <w:p w14:paraId="73FF9D1D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Explain social interaction and mechanisms (turn-taking, awareness), what social presence is, and survey tech that supports collaboration &amp; group participation.</w:t>
      </w:r>
    </w:p>
    <w:p w14:paraId="303B4FC2" w14:textId="77777777" w:rsidR="00811754" w:rsidRPr="007F3D0E" w:rsidRDefault="00000000">
      <w:pPr>
        <w:pStyle w:val="Heading1"/>
        <w:rPr>
          <w:rFonts w:ascii="Arial" w:hAnsi="Arial" w:cs="Arial"/>
          <w:color w:val="auto"/>
        </w:rPr>
      </w:pPr>
      <w:r w:rsidRPr="007F3D0E">
        <w:rPr>
          <w:rFonts w:ascii="Arial" w:hAnsi="Arial" w:cs="Arial"/>
          <w:color w:val="auto"/>
        </w:rPr>
        <w:t>Mini-checklist (use for assignments/tests)</w:t>
      </w:r>
    </w:p>
    <w:p w14:paraId="6E6F8071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Can you justify a UI choice with a cognitive reason (attention/memory/recognition) and a social reason (turn-taking/awareness/presence)?</w:t>
      </w:r>
    </w:p>
    <w:p w14:paraId="469F6D61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Did you add external memory aids (timers, checklists) and recognition supports (previews, histories)?</w:t>
      </w:r>
    </w:p>
    <w:p w14:paraId="6D3405AA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For multiuser/remote flows, did you design awareness cues (who’s typing/where), clear turn-taking affordances (raise-hand, queue), and presence indicators (rooms/avatars)?</w:t>
      </w:r>
    </w:p>
    <w:p w14:paraId="7FCA4C61" w14:textId="77777777" w:rsidR="00811754" w:rsidRPr="007F3D0E" w:rsidRDefault="00000000">
      <w:pPr>
        <w:pStyle w:val="Heading1"/>
        <w:rPr>
          <w:rFonts w:ascii="Arial" w:hAnsi="Arial" w:cs="Arial"/>
          <w:color w:val="auto"/>
        </w:rPr>
      </w:pPr>
      <w:r w:rsidRPr="007F3D0E">
        <w:rPr>
          <w:rFonts w:ascii="Arial" w:hAnsi="Arial" w:cs="Arial"/>
          <w:color w:val="auto"/>
        </w:rPr>
        <w:t>How the slides map to the readings</w:t>
      </w:r>
    </w:p>
    <w:p w14:paraId="0EE12EBC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2 kinds of cognition (experiential vs reflective) → Chapter 4’s cognitive modes.</w:t>
      </w:r>
    </w:p>
    <w:p w14:paraId="6FCAA1C2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Recognition vs recall, reading/speaking/listening, externalizing → Chapter 4 design implications.</w:t>
      </w:r>
    </w:p>
    <w:p w14:paraId="4BAC89E9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Social interaction sections (turn-taking, breakdowns in media, Hypermirror, Sococo, co-presence) → Chapter 5 themes.</w:t>
      </w:r>
    </w:p>
    <w:p w14:paraId="353381FE" w14:textId="77777777" w:rsidR="00811754" w:rsidRPr="007F3D0E" w:rsidRDefault="00000000">
      <w:pPr>
        <w:pStyle w:val="Heading1"/>
        <w:rPr>
          <w:rFonts w:ascii="Arial" w:hAnsi="Arial" w:cs="Arial"/>
          <w:color w:val="auto"/>
        </w:rPr>
      </w:pPr>
      <w:r w:rsidRPr="007F3D0E">
        <w:rPr>
          <w:rFonts w:ascii="Arial" w:hAnsi="Arial" w:cs="Arial"/>
          <w:color w:val="auto"/>
        </w:rPr>
        <w:t>If you only remember five bullets</w:t>
      </w:r>
    </w:p>
    <w:p w14:paraId="140EB8A8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Design for recognition, not recall.</w:t>
      </w:r>
    </w:p>
    <w:p w14:paraId="13CEAE2B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Provide external memory supports (lists, timers, progress).</w:t>
      </w:r>
    </w:p>
    <w:p w14:paraId="7AFC76BE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Balance fast (intuitive) and slow (deliberate) thinking in flows.</w:t>
      </w:r>
    </w:p>
    <w:p w14:paraId="42645008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Make social mechanics visible: turn-taking, awareness, presence.</w:t>
      </w:r>
    </w:p>
    <w:p w14:paraId="1D5F2A3C" w14:textId="77777777" w:rsidR="00811754" w:rsidRPr="007F3D0E" w:rsidRDefault="00000000">
      <w:pPr>
        <w:pStyle w:val="ListBullet"/>
        <w:rPr>
          <w:rFonts w:ascii="Arial" w:hAnsi="Arial" w:cs="Arial"/>
        </w:rPr>
      </w:pPr>
      <w:r w:rsidRPr="007F3D0E">
        <w:rPr>
          <w:rFonts w:ascii="Arial" w:hAnsi="Arial" w:cs="Arial"/>
        </w:rPr>
        <w:t>Ground critiques in UX goals &amp; principles from Ch.1.</w:t>
      </w:r>
    </w:p>
    <w:sectPr w:rsidR="00811754" w:rsidRPr="007F3D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45B4F60"/>
    <w:multiLevelType w:val="hybridMultilevel"/>
    <w:tmpl w:val="2424EB5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5553349">
    <w:abstractNumId w:val="8"/>
  </w:num>
  <w:num w:numId="2" w16cid:durableId="1414858277">
    <w:abstractNumId w:val="6"/>
  </w:num>
  <w:num w:numId="3" w16cid:durableId="857080075">
    <w:abstractNumId w:val="5"/>
  </w:num>
  <w:num w:numId="4" w16cid:durableId="716972572">
    <w:abstractNumId w:val="4"/>
  </w:num>
  <w:num w:numId="5" w16cid:durableId="2042900088">
    <w:abstractNumId w:val="7"/>
  </w:num>
  <w:num w:numId="6" w16cid:durableId="739907467">
    <w:abstractNumId w:val="3"/>
  </w:num>
  <w:num w:numId="7" w16cid:durableId="122777313">
    <w:abstractNumId w:val="2"/>
  </w:num>
  <w:num w:numId="8" w16cid:durableId="819274994">
    <w:abstractNumId w:val="1"/>
  </w:num>
  <w:num w:numId="9" w16cid:durableId="1097096577">
    <w:abstractNumId w:val="0"/>
  </w:num>
  <w:num w:numId="10" w16cid:durableId="1116318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215D"/>
    <w:rsid w:val="007F3D0E"/>
    <w:rsid w:val="008117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030E0C"/>
  <w14:defaultImageDpi w14:val="300"/>
  <w15:docId w15:val="{9226AB60-A2F5-45FB-B52F-D64EBF78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Alexandro Bolfa (331500)</cp:lastModifiedBy>
  <cp:revision>2</cp:revision>
  <dcterms:created xsi:type="dcterms:W3CDTF">2013-12-23T23:15:00Z</dcterms:created>
  <dcterms:modified xsi:type="dcterms:W3CDTF">2025-09-30T13:15:00Z</dcterms:modified>
  <cp:category/>
</cp:coreProperties>
</file>