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64"/>
        </w:rPr>
        <w:t>Marketing Campaign</w:t>
        <w:br/>
        <w:t>Performance Analysis</w:t>
      </w:r>
    </w:p>
    <w:p/>
    <w:p>
      <w:pPr>
        <w:jc w:val="center"/>
      </w:pPr>
      <w:r>
        <w:rPr>
          <w:color w:val="555555"/>
          <w:sz w:val="26"/>
        </w:rPr>
        <w:t>A Data-Driven Evaluation of Multi-Channel Marketing Effectiveness</w:t>
        <w:br/>
        <w:t>Across Audience Segments, Platforms, and Campaign Strategies</w:t>
      </w:r>
    </w:p>
    <w:p/>
    <w:p/>
    <w:p>
      <w:pPr>
        <w:jc w:val="center"/>
      </w:pPr>
      <w:r>
        <w:rPr>
          <w:color w:val="444444"/>
          <w:sz w:val="24"/>
        </w:rPr>
        <w:t>Rebecca Wu</w:t>
        <w:br/>
        <w:t>April 2026</w:t>
      </w:r>
    </w:p>
    <w:p/>
    <w:p>
      <w:pPr>
        <w:jc w:val="center"/>
      </w:pPr>
      <w:r>
        <w:rPr>
          <w:color w:val="888888"/>
          <w:sz w:val="20"/>
        </w:rPr>
        <w:t>Dataset: 200,000 campaigns | 5 companies | 6 channels | 5 markets</w:t>
      </w:r>
    </w:p>
    <w:p>
      <w:r>
        <w:br w:type="page"/>
      </w:r>
    </w:p>
    <w:p>
      <w:pPr>
        <w:pStyle w:val="Heading1"/>
      </w:pPr>
      <w:r>
        <w:rPr>
          <w:color w:val="1A1A2E"/>
        </w:rPr>
        <w:t>Table of Contents</w:t>
      </w:r>
    </w:p>
    <w:p>
      <w:pPr>
        <w:spacing w:after="80"/>
      </w:pPr>
      <w:r>
        <w:t>1. Executive Summary</w:t>
      </w:r>
    </w:p>
    <w:p>
      <w:pPr>
        <w:spacing w:after="80"/>
      </w:pPr>
      <w:r>
        <w:t>2. Introduction &amp; Objectives</w:t>
      </w:r>
    </w:p>
    <w:p>
      <w:pPr>
        <w:spacing w:after="80"/>
      </w:pPr>
      <w:r>
        <w:t>3. Data Overview &amp; Methodology</w:t>
      </w:r>
    </w:p>
    <w:p>
      <w:pPr>
        <w:spacing w:after="80"/>
      </w:pPr>
      <w:r>
        <w:t>4. Channel Performance Analysis</w:t>
      </w:r>
    </w:p>
    <w:p>
      <w:pPr>
        <w:spacing w:after="80"/>
      </w:pPr>
      <w:r>
        <w:t>5. Campaign Type Effectiveness</w:t>
      </w:r>
    </w:p>
    <w:p>
      <w:pPr>
        <w:spacing w:after="80"/>
      </w:pPr>
      <w:r>
        <w:t>6. Social Media Deep-Dive: Instagram vs. Facebook vs. YouTube</w:t>
      </w:r>
    </w:p>
    <w:p>
      <w:pPr>
        <w:spacing w:after="80"/>
      </w:pPr>
      <w:r>
        <w:t>7. Audience &amp; Customer Segment Analysis</w:t>
      </w:r>
    </w:p>
    <w:p>
      <w:pPr>
        <w:spacing w:after="80"/>
      </w:pPr>
      <w:r>
        <w:t>8. Geographic &amp; Demographic Insights</w:t>
      </w:r>
    </w:p>
    <w:p>
      <w:pPr>
        <w:spacing w:after="80"/>
      </w:pPr>
      <w:r>
        <w:t>9. Cost Efficiency &amp; Budget Optimization</w:t>
      </w:r>
    </w:p>
    <w:p>
      <w:pPr>
        <w:spacing w:after="80"/>
      </w:pPr>
      <w:r>
        <w:t>10. Temporal Trends &amp; Seasonality</w:t>
      </w:r>
    </w:p>
    <w:p>
      <w:pPr>
        <w:spacing w:after="80"/>
      </w:pPr>
      <w:r>
        <w:t>11. Company Benchmarking</w:t>
      </w:r>
    </w:p>
    <w:p>
      <w:pPr>
        <w:spacing w:after="80"/>
      </w:pPr>
      <w:r>
        <w:t>12. Statistical Significance Testing (ANOVA)</w:t>
      </w:r>
    </w:p>
    <w:p>
      <w:pPr>
        <w:spacing w:after="80"/>
      </w:pPr>
      <w:r>
        <w:t>13. Predictive Modeling &amp; Feature Importance</w:t>
      </w:r>
    </w:p>
    <w:p>
      <w:pPr>
        <w:spacing w:after="80"/>
      </w:pPr>
      <w:r>
        <w:t>14. Correlation Analysis</w:t>
      </w:r>
    </w:p>
    <w:p>
      <w:pPr>
        <w:spacing w:after="80"/>
      </w:pPr>
      <w:r>
        <w:t>15. Key Findings &amp; Strategic Recommendations</w:t>
      </w:r>
    </w:p>
    <w:p>
      <w:pPr>
        <w:spacing w:after="80"/>
      </w:pPr>
      <w:r>
        <w:t>16. Limitations &amp; Future Research</w:t>
      </w:r>
    </w:p>
    <w:p>
      <w:pPr>
        <w:spacing w:after="80"/>
      </w:pPr>
      <w:r>
        <w:t>17. Appendix</w:t>
      </w:r>
    </w:p>
    <w:p>
      <w:r>
        <w:br w:type="page"/>
      </w:r>
    </w:p>
    <w:p>
      <w:pPr>
        <w:pStyle w:val="Heading1"/>
      </w:pPr>
      <w:r>
        <w:rPr>
          <w:color w:val="1A1A2E"/>
        </w:rPr>
        <w:t>1. Executive Summary</w:t>
      </w:r>
    </w:p>
    <w:p>
      <w:pPr>
        <w:spacing w:after="160" w:line="276" w:lineRule="auto"/>
      </w:pPr>
      <w:r>
        <w:t>This report presents a comprehensive analysis of 200,000 marketing campaigns executed by five companies across six marketing channels throughout 2021. The analysis evaluates campaign performance through multiple lenses—return on investment (ROI), conversion rates, engagement scores, click-through rates, and cost efficiency—to identify the highest-performing channels, audience segments, and campaign strategies.</w:t>
      </w: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72"/>
        <w:gridCol w:w="1872"/>
        <w:gridCol w:w="1872"/>
        <w:gridCol w:w="1872"/>
        <w:gridCol w:w="1872"/>
      </w:tblGrid>
      <w:tr>
        <w:tc>
          <w:tcPr>
            <w:tcW w:type="dxa" w:w="1872"/>
          </w:tcPr>
          <w:p>
            <w:pPr>
              <w:jc w:val="center"/>
            </w:pPr>
            <w:r>
              <w:rPr>
                <w:color w:val="666666"/>
                <w:sz w:val="16"/>
              </w:rPr>
              <w:t>Total Campaigns</w:t>
            </w:r>
          </w:p>
          <w:p>
            <w:pPr>
              <w:jc w:val="center"/>
            </w:pPr>
            <w:r>
              <w:rPr>
                <w:b/>
                <w:color w:val="1A1A2E"/>
                <w:sz w:val="28"/>
              </w:rPr>
              <w:t>200,000</w:t>
            </w:r>
          </w:p>
        </w:tc>
        <w:tc>
          <w:tcPr>
            <w:tcW w:type="dxa" w:w="1872"/>
          </w:tcPr>
          <w:p>
            <w:pPr>
              <w:jc w:val="center"/>
            </w:pPr>
            <w:r>
              <w:rPr>
                <w:color w:val="666666"/>
                <w:sz w:val="16"/>
              </w:rPr>
              <w:t>Total Spend</w:t>
            </w:r>
          </w:p>
          <w:p>
            <w:pPr>
              <w:jc w:val="center"/>
            </w:pPr>
            <w:r>
              <w:rPr>
                <w:b/>
                <w:color w:val="1A1A2E"/>
                <w:sz w:val="28"/>
              </w:rPr>
              <w:t>$2.50B</w:t>
            </w:r>
          </w:p>
        </w:tc>
        <w:tc>
          <w:tcPr>
            <w:tcW w:type="dxa" w:w="1872"/>
          </w:tcPr>
          <w:p>
            <w:pPr>
              <w:jc w:val="center"/>
            </w:pPr>
            <w:r>
              <w:rPr>
                <w:color w:val="666666"/>
                <w:sz w:val="16"/>
              </w:rPr>
              <w:t>Avg ROI</w:t>
            </w:r>
          </w:p>
          <w:p>
            <w:pPr>
              <w:jc w:val="center"/>
            </w:pPr>
            <w:r>
              <w:rPr>
                <w:b/>
                <w:color w:val="1A1A2E"/>
                <w:sz w:val="28"/>
              </w:rPr>
              <w:t>5.00x</w:t>
            </w:r>
          </w:p>
        </w:tc>
        <w:tc>
          <w:tcPr>
            <w:tcW w:type="dxa" w:w="1872"/>
          </w:tcPr>
          <w:p>
            <w:pPr>
              <w:jc w:val="center"/>
            </w:pPr>
            <w:r>
              <w:rPr>
                <w:color w:val="666666"/>
                <w:sz w:val="16"/>
              </w:rPr>
              <w:t>Avg Conversion Rate</w:t>
            </w:r>
          </w:p>
          <w:p>
            <w:pPr>
              <w:jc w:val="center"/>
            </w:pPr>
            <w:r>
              <w:rPr>
                <w:b/>
                <w:color w:val="1A1A2E"/>
                <w:sz w:val="28"/>
              </w:rPr>
              <w:t>8.0%</w:t>
            </w:r>
          </w:p>
        </w:tc>
        <w:tc>
          <w:tcPr>
            <w:tcW w:type="dxa" w:w="1872"/>
          </w:tcPr>
          <w:p>
            <w:pPr>
              <w:jc w:val="center"/>
            </w:pPr>
            <w:r>
              <w:rPr>
                <w:color w:val="666666"/>
                <w:sz w:val="16"/>
              </w:rPr>
              <w:t>Total Conversions</w:t>
            </w:r>
          </w:p>
          <w:p>
            <w:pPr>
              <w:jc w:val="center"/>
            </w:pPr>
            <w:r>
              <w:rPr>
                <w:b/>
                <w:color w:val="1A1A2E"/>
                <w:sz w:val="28"/>
              </w:rPr>
              <w:t>8.8M</w:t>
            </w:r>
          </w:p>
        </w:tc>
      </w:tr>
    </w:tbl>
    <w:p/>
    <w:p>
      <w:pPr>
        <w:spacing w:after="160" w:line="276" w:lineRule="auto"/>
      </w:pPr>
      <w:r>
        <w:t>Key findings:</w:t>
      </w:r>
    </w:p>
    <w:p>
      <w:pPr>
        <w:pStyle w:val="ListBullet"/>
        <w:spacing w:after="80"/>
      </w:pPr>
      <w:r>
        <w:t>All six channels demonstrate comparable average ROI (~5.0x), indicating a well-diversified marketing portfolio with no single point of failure.</w:t>
      </w:r>
    </w:p>
    <w:p>
      <w:pPr>
        <w:pStyle w:val="ListBullet"/>
        <w:spacing w:after="80"/>
      </w:pPr>
      <w:r>
        <w:t>Social media platforms (Instagram, Facebook, YouTube) collectively account for approximately half of all campaigns and deliver engagement scores averaging 5.5/10.</w:t>
      </w:r>
    </w:p>
    <w:p>
      <w:pPr>
        <w:pStyle w:val="ListBullet"/>
        <w:spacing w:after="80"/>
      </w:pPr>
      <w:r>
        <w:t>Campaign duration shows minimal impact on ROI, suggesting that budget allocation efficiency matters more than campaign length.</w:t>
      </w:r>
    </w:p>
    <w:p>
      <w:pPr>
        <w:pStyle w:val="ListBullet"/>
        <w:spacing w:after="80"/>
      </w:pPr>
      <w:r>
        <w:t>Customer segments show similar performance profiles, with engagement scores ranging from 5.5 to 5.5, indicating consistent messaging effectiveness across verticals.</w:t>
      </w:r>
    </w:p>
    <w:p>
      <w:pPr>
        <w:pStyle w:val="ListBullet"/>
        <w:spacing w:after="80"/>
      </w:pPr>
      <w:r>
        <w:t>Total marketing spend of $2.50B generated an estimated 8.8M conversions across all channels.</w:t>
      </w:r>
    </w:p>
    <w:p>
      <w:r>
        <w:br w:type="page"/>
      </w:r>
    </w:p>
    <w:p>
      <w:pPr>
        <w:pStyle w:val="Heading1"/>
      </w:pPr>
      <w:r>
        <w:rPr>
          <w:color w:val="1A1A2E"/>
        </w:rPr>
        <w:t>2. Introduction &amp; Objectives</w:t>
      </w:r>
    </w:p>
    <w:p>
      <w:pPr>
        <w:spacing w:after="160" w:line="276" w:lineRule="auto"/>
      </w:pPr>
      <w:r>
        <w:t>In today's hyper-competitive digital landscape, marketing teams face mounting pressure to demonstrate measurable returns on every dollar spent. With budgets distributed across email, search, display, social media, and influencer channels, understanding which combinations of platform, audience, and campaign type deliver the strongest outcomes is critical for strategic planning.</w:t>
      </w:r>
    </w:p>
    <w:p>
      <w:pPr>
        <w:spacing w:after="160" w:line="276" w:lineRule="auto"/>
      </w:pPr>
      <w:r>
        <w:t>This analysis was conducted to answer five core business questions:</w:t>
      </w:r>
    </w:p>
    <w:p>
      <w:pPr>
        <w:pStyle w:val="ListNumber"/>
        <w:spacing w:after="80"/>
      </w:pPr>
      <w:r>
        <w:t>Channel Effectiveness: Which marketing channels deliver the highest ROI, and how do they compare on engagement and conversion metrics?</w:t>
      </w:r>
    </w:p>
    <w:p>
      <w:pPr>
        <w:pStyle w:val="ListNumber"/>
        <w:spacing w:after="80"/>
      </w:pPr>
      <w:r>
        <w:t>Social Media Benchmarking: Among Instagram, Facebook, and YouTube, which platform offers the best cost-adjusted performance for different campaign types?</w:t>
      </w:r>
    </w:p>
    <w:p>
      <w:pPr>
        <w:pStyle w:val="ListNumber"/>
        <w:spacing w:after="80"/>
      </w:pPr>
      <w:r>
        <w:t>Audience Optimization: Which target demographics and customer segments respond most favorably to marketing efforts, and how should targeting evolve?</w:t>
      </w:r>
    </w:p>
    <w:p>
      <w:pPr>
        <w:pStyle w:val="ListNumber"/>
        <w:spacing w:after="80"/>
      </w:pPr>
      <w:r>
        <w:t>Budget Allocation: Where are acquisition costs highest relative to returns, and how can spend be reallocated for maximum efficiency?</w:t>
      </w:r>
    </w:p>
    <w:p>
      <w:pPr>
        <w:pStyle w:val="ListNumber"/>
        <w:spacing w:after="80"/>
      </w:pPr>
      <w:r>
        <w:t>Strategic Planning: What campaign durations, geographic markets, and temporal patterns should inform the 2022 marketing strategy?</w:t>
      </w:r>
    </w:p>
    <w:p>
      <w:r>
        <w:br w:type="page"/>
      </w:r>
    </w:p>
    <w:p>
      <w:pPr>
        <w:pStyle w:val="Heading1"/>
      </w:pPr>
      <w:r>
        <w:rPr>
          <w:color w:val="1A1A2E"/>
        </w:rPr>
        <w:t>3. Data Overview &amp; Methodology</w:t>
      </w:r>
    </w:p>
    <w:p>
      <w:pPr>
        <w:pStyle w:val="Heading2"/>
      </w:pPr>
      <w:r>
        <w:rPr>
          <w:color w:val="1A1A2E"/>
        </w:rPr>
        <w:t>3.1 Dataset Description</w:t>
      </w:r>
    </w:p>
    <w:p>
      <w:pPr>
        <w:spacing w:after="160" w:line="276" w:lineRule="auto"/>
      </w:pPr>
      <w:r>
        <w:t>The dataset comprises 200,000 individual campaign records spanning January 1, 2021 through December 31, 2021. Each record captures 16 attributes describing campaign configuration, performance metrics, and contextual metadata.</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1A2E"/>
          </w:tcPr>
          <w:p>
            <w:pPr>
              <w:jc w:val="center"/>
            </w:pPr>
            <w:r>
              <w:rPr>
                <w:b/>
                <w:color w:val="FFFFFF"/>
                <w:sz w:val="18"/>
              </w:rPr>
              <w:t>Variable</w:t>
            </w:r>
          </w:p>
        </w:tc>
        <w:tc>
          <w:tcPr>
            <w:tcW w:type="dxa" w:w="2340"/>
            <w:shd w:val="clear" w:color="auto" w:fill="1A1A2E"/>
          </w:tcPr>
          <w:p>
            <w:pPr>
              <w:jc w:val="center"/>
            </w:pPr>
            <w:r>
              <w:rPr>
                <w:b/>
                <w:color w:val="FFFFFF"/>
                <w:sz w:val="18"/>
              </w:rPr>
              <w:t>Type</w:t>
            </w:r>
          </w:p>
        </w:tc>
        <w:tc>
          <w:tcPr>
            <w:tcW w:type="dxa" w:w="2340"/>
            <w:shd w:val="clear" w:color="auto" w:fill="1A1A2E"/>
          </w:tcPr>
          <w:p>
            <w:pPr>
              <w:jc w:val="center"/>
            </w:pPr>
            <w:r>
              <w:rPr>
                <w:b/>
                <w:color w:val="FFFFFF"/>
                <w:sz w:val="18"/>
              </w:rPr>
              <w:t>Description</w:t>
            </w:r>
          </w:p>
        </w:tc>
        <w:tc>
          <w:tcPr>
            <w:tcW w:type="dxa" w:w="2340"/>
            <w:shd w:val="clear" w:color="auto" w:fill="1A1A2E"/>
          </w:tcPr>
          <w:p>
            <w:pPr>
              <w:jc w:val="center"/>
            </w:pPr>
            <w:r>
              <w:rPr>
                <w:b/>
                <w:color w:val="FFFFFF"/>
                <w:sz w:val="18"/>
              </w:rPr>
              <w:t>Example Values</w:t>
            </w:r>
          </w:p>
        </w:tc>
      </w:tr>
      <w:tr>
        <w:tc>
          <w:tcPr>
            <w:tcW w:type="dxa" w:w="2340"/>
          </w:tcPr>
          <w:p>
            <w:pPr>
              <w:jc w:val="center"/>
            </w:pPr>
            <w:r>
              <w:rPr>
                <w:sz w:val="18"/>
              </w:rPr>
              <w:t>Campaign_ID</w:t>
            </w:r>
          </w:p>
        </w:tc>
        <w:tc>
          <w:tcPr>
            <w:tcW w:type="dxa" w:w="2340"/>
          </w:tcPr>
          <w:p>
            <w:pPr>
              <w:jc w:val="center"/>
            </w:pPr>
            <w:r>
              <w:rPr>
                <w:sz w:val="18"/>
              </w:rPr>
              <w:t>Integer</w:t>
            </w:r>
          </w:p>
        </w:tc>
        <w:tc>
          <w:tcPr>
            <w:tcW w:type="dxa" w:w="2340"/>
          </w:tcPr>
          <w:p>
            <w:pPr>
              <w:jc w:val="center"/>
            </w:pPr>
            <w:r>
              <w:rPr>
                <w:sz w:val="18"/>
              </w:rPr>
              <w:t>Unique campaign identifier</w:t>
            </w:r>
          </w:p>
        </w:tc>
        <w:tc>
          <w:tcPr>
            <w:tcW w:type="dxa" w:w="2340"/>
          </w:tcPr>
          <w:p>
            <w:pPr>
              <w:jc w:val="center"/>
            </w:pPr>
            <w:r>
              <w:rPr>
                <w:sz w:val="18"/>
              </w:rPr>
              <w:t>1 – 200,000</w:t>
            </w:r>
          </w:p>
        </w:tc>
      </w:tr>
      <w:tr>
        <w:tc>
          <w:tcPr>
            <w:tcW w:type="dxa" w:w="2340"/>
            <w:shd w:val="clear" w:color="auto" w:fill="F5F5F5"/>
          </w:tcPr>
          <w:p>
            <w:pPr>
              <w:jc w:val="center"/>
            </w:pPr>
            <w:r>
              <w:rPr>
                <w:sz w:val="18"/>
              </w:rPr>
              <w:t>Company</w:t>
            </w:r>
          </w:p>
        </w:tc>
        <w:tc>
          <w:tcPr>
            <w:tcW w:type="dxa" w:w="2340"/>
            <w:shd w:val="clear" w:color="auto" w:fill="F5F5F5"/>
          </w:tcPr>
          <w:p>
            <w:pPr>
              <w:jc w:val="center"/>
            </w:pPr>
            <w:r>
              <w:rPr>
                <w:sz w:val="18"/>
              </w:rPr>
              <w:t>Categorical</w:t>
            </w:r>
          </w:p>
        </w:tc>
        <w:tc>
          <w:tcPr>
            <w:tcW w:type="dxa" w:w="2340"/>
            <w:shd w:val="clear" w:color="auto" w:fill="F5F5F5"/>
          </w:tcPr>
          <w:p>
            <w:pPr>
              <w:jc w:val="center"/>
            </w:pPr>
            <w:r>
              <w:rPr>
                <w:sz w:val="18"/>
              </w:rPr>
              <w:t>Advertising company</w:t>
            </w:r>
          </w:p>
        </w:tc>
        <w:tc>
          <w:tcPr>
            <w:tcW w:type="dxa" w:w="2340"/>
            <w:shd w:val="clear" w:color="auto" w:fill="F5F5F5"/>
          </w:tcPr>
          <w:p>
            <w:pPr>
              <w:jc w:val="center"/>
            </w:pPr>
            <w:r>
              <w:rPr>
                <w:sz w:val="18"/>
              </w:rPr>
              <w:t>TechCorp, NexGen Systems, etc.</w:t>
            </w:r>
          </w:p>
        </w:tc>
      </w:tr>
      <w:tr>
        <w:tc>
          <w:tcPr>
            <w:tcW w:type="dxa" w:w="2340"/>
          </w:tcPr>
          <w:p>
            <w:pPr>
              <w:jc w:val="center"/>
            </w:pPr>
            <w:r>
              <w:rPr>
                <w:sz w:val="18"/>
              </w:rPr>
              <w:t>Campaign_Type</w:t>
            </w:r>
          </w:p>
        </w:tc>
        <w:tc>
          <w:tcPr>
            <w:tcW w:type="dxa" w:w="2340"/>
          </w:tcPr>
          <w:p>
            <w:pPr>
              <w:jc w:val="center"/>
            </w:pPr>
            <w:r>
              <w:rPr>
                <w:sz w:val="18"/>
              </w:rPr>
              <w:t>Categorical</w:t>
            </w:r>
          </w:p>
        </w:tc>
        <w:tc>
          <w:tcPr>
            <w:tcW w:type="dxa" w:w="2340"/>
          </w:tcPr>
          <w:p>
            <w:pPr>
              <w:jc w:val="center"/>
            </w:pPr>
            <w:r>
              <w:rPr>
                <w:sz w:val="18"/>
              </w:rPr>
              <w:t>Marketing strategy type</w:t>
            </w:r>
          </w:p>
        </w:tc>
        <w:tc>
          <w:tcPr>
            <w:tcW w:type="dxa" w:w="2340"/>
          </w:tcPr>
          <w:p>
            <w:pPr>
              <w:jc w:val="center"/>
            </w:pPr>
            <w:r>
              <w:rPr>
                <w:sz w:val="18"/>
              </w:rPr>
              <w:t>Email, Social Media, Search, Display, Influencer</w:t>
            </w:r>
          </w:p>
        </w:tc>
      </w:tr>
      <w:tr>
        <w:tc>
          <w:tcPr>
            <w:tcW w:type="dxa" w:w="2340"/>
            <w:shd w:val="clear" w:color="auto" w:fill="F5F5F5"/>
          </w:tcPr>
          <w:p>
            <w:pPr>
              <w:jc w:val="center"/>
            </w:pPr>
            <w:r>
              <w:rPr>
                <w:sz w:val="18"/>
              </w:rPr>
              <w:t>Target_Audience</w:t>
            </w:r>
          </w:p>
        </w:tc>
        <w:tc>
          <w:tcPr>
            <w:tcW w:type="dxa" w:w="2340"/>
            <w:shd w:val="clear" w:color="auto" w:fill="F5F5F5"/>
          </w:tcPr>
          <w:p>
            <w:pPr>
              <w:jc w:val="center"/>
            </w:pPr>
            <w:r>
              <w:rPr>
                <w:sz w:val="18"/>
              </w:rPr>
              <w:t>Categorical</w:t>
            </w:r>
          </w:p>
        </w:tc>
        <w:tc>
          <w:tcPr>
            <w:tcW w:type="dxa" w:w="2340"/>
            <w:shd w:val="clear" w:color="auto" w:fill="F5F5F5"/>
          </w:tcPr>
          <w:p>
            <w:pPr>
              <w:jc w:val="center"/>
            </w:pPr>
            <w:r>
              <w:rPr>
                <w:sz w:val="18"/>
              </w:rPr>
              <w:t>Demographic targeting</w:t>
            </w:r>
          </w:p>
        </w:tc>
        <w:tc>
          <w:tcPr>
            <w:tcW w:type="dxa" w:w="2340"/>
            <w:shd w:val="clear" w:color="auto" w:fill="F5F5F5"/>
          </w:tcPr>
          <w:p>
            <w:pPr>
              <w:jc w:val="center"/>
            </w:pPr>
            <w:r>
              <w:rPr>
                <w:sz w:val="18"/>
              </w:rPr>
              <w:t>Men 18-24, Women 25-34, All Ages</w:t>
            </w:r>
          </w:p>
        </w:tc>
      </w:tr>
      <w:tr>
        <w:tc>
          <w:tcPr>
            <w:tcW w:type="dxa" w:w="2340"/>
          </w:tcPr>
          <w:p>
            <w:pPr>
              <w:jc w:val="center"/>
            </w:pPr>
            <w:r>
              <w:rPr>
                <w:sz w:val="18"/>
              </w:rPr>
              <w:t>Duration</w:t>
            </w:r>
          </w:p>
        </w:tc>
        <w:tc>
          <w:tcPr>
            <w:tcW w:type="dxa" w:w="2340"/>
          </w:tcPr>
          <w:p>
            <w:pPr>
              <w:jc w:val="center"/>
            </w:pPr>
            <w:r>
              <w:rPr>
                <w:sz w:val="18"/>
              </w:rPr>
              <w:t>Ordinal</w:t>
            </w:r>
          </w:p>
        </w:tc>
        <w:tc>
          <w:tcPr>
            <w:tcW w:type="dxa" w:w="2340"/>
          </w:tcPr>
          <w:p>
            <w:pPr>
              <w:jc w:val="center"/>
            </w:pPr>
            <w:r>
              <w:rPr>
                <w:sz w:val="18"/>
              </w:rPr>
              <w:t>Campaign run length</w:t>
            </w:r>
          </w:p>
        </w:tc>
        <w:tc>
          <w:tcPr>
            <w:tcW w:type="dxa" w:w="2340"/>
          </w:tcPr>
          <w:p>
            <w:pPr>
              <w:jc w:val="center"/>
            </w:pPr>
            <w:r>
              <w:rPr>
                <w:sz w:val="18"/>
              </w:rPr>
              <w:t>15, 30, 45, or 60 days</w:t>
            </w:r>
          </w:p>
        </w:tc>
      </w:tr>
      <w:tr>
        <w:tc>
          <w:tcPr>
            <w:tcW w:type="dxa" w:w="2340"/>
            <w:shd w:val="clear" w:color="auto" w:fill="F5F5F5"/>
          </w:tcPr>
          <w:p>
            <w:pPr>
              <w:jc w:val="center"/>
            </w:pPr>
            <w:r>
              <w:rPr>
                <w:sz w:val="18"/>
              </w:rPr>
              <w:t>Channel_Used</w:t>
            </w:r>
          </w:p>
        </w:tc>
        <w:tc>
          <w:tcPr>
            <w:tcW w:type="dxa" w:w="2340"/>
            <w:shd w:val="clear" w:color="auto" w:fill="F5F5F5"/>
          </w:tcPr>
          <w:p>
            <w:pPr>
              <w:jc w:val="center"/>
            </w:pPr>
            <w:r>
              <w:rPr>
                <w:sz w:val="18"/>
              </w:rPr>
              <w:t>Categorical</w:t>
            </w:r>
          </w:p>
        </w:tc>
        <w:tc>
          <w:tcPr>
            <w:tcW w:type="dxa" w:w="2340"/>
            <w:shd w:val="clear" w:color="auto" w:fill="F5F5F5"/>
          </w:tcPr>
          <w:p>
            <w:pPr>
              <w:jc w:val="center"/>
            </w:pPr>
            <w:r>
              <w:rPr>
                <w:sz w:val="18"/>
              </w:rPr>
              <w:t>Distribution platform</w:t>
            </w:r>
          </w:p>
        </w:tc>
        <w:tc>
          <w:tcPr>
            <w:tcW w:type="dxa" w:w="2340"/>
            <w:shd w:val="clear" w:color="auto" w:fill="F5F5F5"/>
          </w:tcPr>
          <w:p>
            <w:pPr>
              <w:jc w:val="center"/>
            </w:pPr>
            <w:r>
              <w:rPr>
                <w:sz w:val="18"/>
              </w:rPr>
              <w:t>Google Ads, YouTube, Instagram, Facebook, Email, Website</w:t>
            </w:r>
          </w:p>
        </w:tc>
      </w:tr>
      <w:tr>
        <w:tc>
          <w:tcPr>
            <w:tcW w:type="dxa" w:w="2340"/>
          </w:tcPr>
          <w:p>
            <w:pPr>
              <w:jc w:val="center"/>
            </w:pPr>
            <w:r>
              <w:rPr>
                <w:sz w:val="18"/>
              </w:rPr>
              <w:t>Conversion_Rate</w:t>
            </w:r>
          </w:p>
        </w:tc>
        <w:tc>
          <w:tcPr>
            <w:tcW w:type="dxa" w:w="2340"/>
          </w:tcPr>
          <w:p>
            <w:pPr>
              <w:jc w:val="center"/>
            </w:pPr>
            <w:r>
              <w:rPr>
                <w:sz w:val="18"/>
              </w:rPr>
              <w:t>Continuous</w:t>
            </w:r>
          </w:p>
        </w:tc>
        <w:tc>
          <w:tcPr>
            <w:tcW w:type="dxa" w:w="2340"/>
          </w:tcPr>
          <w:p>
            <w:pPr>
              <w:jc w:val="center"/>
            </w:pPr>
            <w:r>
              <w:rPr>
                <w:sz w:val="18"/>
              </w:rPr>
              <w:t>Action completion rate</w:t>
            </w:r>
          </w:p>
        </w:tc>
        <w:tc>
          <w:tcPr>
            <w:tcW w:type="dxa" w:w="2340"/>
          </w:tcPr>
          <w:p>
            <w:pPr>
              <w:jc w:val="center"/>
            </w:pPr>
            <w:r>
              <w:rPr>
                <w:sz w:val="18"/>
              </w:rPr>
              <w:t>0.01 – 0.15</w:t>
            </w:r>
          </w:p>
        </w:tc>
      </w:tr>
      <w:tr>
        <w:tc>
          <w:tcPr>
            <w:tcW w:type="dxa" w:w="2340"/>
            <w:shd w:val="clear" w:color="auto" w:fill="F5F5F5"/>
          </w:tcPr>
          <w:p>
            <w:pPr>
              <w:jc w:val="center"/>
            </w:pPr>
            <w:r>
              <w:rPr>
                <w:sz w:val="18"/>
              </w:rPr>
              <w:t>Acquisition_Cost</w:t>
            </w:r>
          </w:p>
        </w:tc>
        <w:tc>
          <w:tcPr>
            <w:tcW w:type="dxa" w:w="2340"/>
            <w:shd w:val="clear" w:color="auto" w:fill="F5F5F5"/>
          </w:tcPr>
          <w:p>
            <w:pPr>
              <w:jc w:val="center"/>
            </w:pPr>
            <w:r>
              <w:rPr>
                <w:sz w:val="18"/>
              </w:rPr>
              <w:t>Continuous</w:t>
            </w:r>
          </w:p>
        </w:tc>
        <w:tc>
          <w:tcPr>
            <w:tcW w:type="dxa" w:w="2340"/>
            <w:shd w:val="clear" w:color="auto" w:fill="F5F5F5"/>
          </w:tcPr>
          <w:p>
            <w:pPr>
              <w:jc w:val="center"/>
            </w:pPr>
            <w:r>
              <w:rPr>
                <w:sz w:val="18"/>
              </w:rPr>
              <w:t>Customer acquisition spend</w:t>
            </w:r>
          </w:p>
        </w:tc>
        <w:tc>
          <w:tcPr>
            <w:tcW w:type="dxa" w:w="2340"/>
            <w:shd w:val="clear" w:color="auto" w:fill="F5F5F5"/>
          </w:tcPr>
          <w:p>
            <w:pPr>
              <w:jc w:val="center"/>
            </w:pPr>
            <w:r>
              <w:rPr>
                <w:sz w:val="18"/>
              </w:rPr>
              <w:t>$5,000 – $20,000</w:t>
            </w:r>
          </w:p>
        </w:tc>
      </w:tr>
      <w:tr>
        <w:tc>
          <w:tcPr>
            <w:tcW w:type="dxa" w:w="2340"/>
          </w:tcPr>
          <w:p>
            <w:pPr>
              <w:jc w:val="center"/>
            </w:pPr>
            <w:r>
              <w:rPr>
                <w:sz w:val="18"/>
              </w:rPr>
              <w:t>ROI</w:t>
            </w:r>
          </w:p>
        </w:tc>
        <w:tc>
          <w:tcPr>
            <w:tcW w:type="dxa" w:w="2340"/>
          </w:tcPr>
          <w:p>
            <w:pPr>
              <w:jc w:val="center"/>
            </w:pPr>
            <w:r>
              <w:rPr>
                <w:sz w:val="18"/>
              </w:rPr>
              <w:t>Continuous</w:t>
            </w:r>
          </w:p>
        </w:tc>
        <w:tc>
          <w:tcPr>
            <w:tcW w:type="dxa" w:w="2340"/>
          </w:tcPr>
          <w:p>
            <w:pPr>
              <w:jc w:val="center"/>
            </w:pPr>
            <w:r>
              <w:rPr>
                <w:sz w:val="18"/>
              </w:rPr>
              <w:t>Return on investment</w:t>
            </w:r>
          </w:p>
        </w:tc>
        <w:tc>
          <w:tcPr>
            <w:tcW w:type="dxa" w:w="2340"/>
          </w:tcPr>
          <w:p>
            <w:pPr>
              <w:jc w:val="center"/>
            </w:pPr>
            <w:r>
              <w:rPr>
                <w:sz w:val="18"/>
              </w:rPr>
              <w:t>2.00 – 8.00</w:t>
            </w:r>
          </w:p>
        </w:tc>
      </w:tr>
      <w:tr>
        <w:tc>
          <w:tcPr>
            <w:tcW w:type="dxa" w:w="2340"/>
            <w:shd w:val="clear" w:color="auto" w:fill="F5F5F5"/>
          </w:tcPr>
          <w:p>
            <w:pPr>
              <w:jc w:val="center"/>
            </w:pPr>
            <w:r>
              <w:rPr>
                <w:sz w:val="18"/>
              </w:rPr>
              <w:t>Location</w:t>
            </w:r>
          </w:p>
        </w:tc>
        <w:tc>
          <w:tcPr>
            <w:tcW w:type="dxa" w:w="2340"/>
            <w:shd w:val="clear" w:color="auto" w:fill="F5F5F5"/>
          </w:tcPr>
          <w:p>
            <w:pPr>
              <w:jc w:val="center"/>
            </w:pPr>
            <w:r>
              <w:rPr>
                <w:sz w:val="18"/>
              </w:rPr>
              <w:t>Categorical</w:t>
            </w:r>
          </w:p>
        </w:tc>
        <w:tc>
          <w:tcPr>
            <w:tcW w:type="dxa" w:w="2340"/>
            <w:shd w:val="clear" w:color="auto" w:fill="F5F5F5"/>
          </w:tcPr>
          <w:p>
            <w:pPr>
              <w:jc w:val="center"/>
            </w:pPr>
            <w:r>
              <w:rPr>
                <w:sz w:val="18"/>
              </w:rPr>
              <w:t>Market geography</w:t>
            </w:r>
          </w:p>
        </w:tc>
        <w:tc>
          <w:tcPr>
            <w:tcW w:type="dxa" w:w="2340"/>
            <w:shd w:val="clear" w:color="auto" w:fill="F5F5F5"/>
          </w:tcPr>
          <w:p>
            <w:pPr>
              <w:jc w:val="center"/>
            </w:pPr>
            <w:r>
              <w:rPr>
                <w:sz w:val="18"/>
              </w:rPr>
              <w:t>New York, Los Angeles, Chicago, Houston, Miami</w:t>
            </w:r>
          </w:p>
        </w:tc>
      </w:tr>
      <w:tr>
        <w:tc>
          <w:tcPr>
            <w:tcW w:type="dxa" w:w="2340"/>
          </w:tcPr>
          <w:p>
            <w:pPr>
              <w:jc w:val="center"/>
            </w:pPr>
            <w:r>
              <w:rPr>
                <w:sz w:val="18"/>
              </w:rPr>
              <w:t>Clicks</w:t>
            </w:r>
          </w:p>
        </w:tc>
        <w:tc>
          <w:tcPr>
            <w:tcW w:type="dxa" w:w="2340"/>
          </w:tcPr>
          <w:p>
            <w:pPr>
              <w:jc w:val="center"/>
            </w:pPr>
            <w:r>
              <w:rPr>
                <w:sz w:val="18"/>
              </w:rPr>
              <w:t>Integer</w:t>
            </w:r>
          </w:p>
        </w:tc>
        <w:tc>
          <w:tcPr>
            <w:tcW w:type="dxa" w:w="2340"/>
          </w:tcPr>
          <w:p>
            <w:pPr>
              <w:jc w:val="center"/>
            </w:pPr>
            <w:r>
              <w:rPr>
                <w:sz w:val="18"/>
              </w:rPr>
              <w:t>User click count</w:t>
            </w:r>
          </w:p>
        </w:tc>
        <w:tc>
          <w:tcPr>
            <w:tcW w:type="dxa" w:w="2340"/>
          </w:tcPr>
          <w:p>
            <w:pPr>
              <w:jc w:val="center"/>
            </w:pPr>
            <w:r>
              <w:rPr>
                <w:sz w:val="18"/>
              </w:rPr>
              <w:t>100 – 1,000</w:t>
            </w:r>
          </w:p>
        </w:tc>
      </w:tr>
      <w:tr>
        <w:tc>
          <w:tcPr>
            <w:tcW w:type="dxa" w:w="2340"/>
            <w:shd w:val="clear" w:color="auto" w:fill="F5F5F5"/>
          </w:tcPr>
          <w:p>
            <w:pPr>
              <w:jc w:val="center"/>
            </w:pPr>
            <w:r>
              <w:rPr>
                <w:sz w:val="18"/>
              </w:rPr>
              <w:t>Impressions</w:t>
            </w:r>
          </w:p>
        </w:tc>
        <w:tc>
          <w:tcPr>
            <w:tcW w:type="dxa" w:w="2340"/>
            <w:shd w:val="clear" w:color="auto" w:fill="F5F5F5"/>
          </w:tcPr>
          <w:p>
            <w:pPr>
              <w:jc w:val="center"/>
            </w:pPr>
            <w:r>
              <w:rPr>
                <w:sz w:val="18"/>
              </w:rPr>
              <w:t>Integer</w:t>
            </w:r>
          </w:p>
        </w:tc>
        <w:tc>
          <w:tcPr>
            <w:tcW w:type="dxa" w:w="2340"/>
            <w:shd w:val="clear" w:color="auto" w:fill="F5F5F5"/>
          </w:tcPr>
          <w:p>
            <w:pPr>
              <w:jc w:val="center"/>
            </w:pPr>
            <w:r>
              <w:rPr>
                <w:sz w:val="18"/>
              </w:rPr>
              <w:t>Total ad views</w:t>
            </w:r>
          </w:p>
        </w:tc>
        <w:tc>
          <w:tcPr>
            <w:tcW w:type="dxa" w:w="2340"/>
            <w:shd w:val="clear" w:color="auto" w:fill="F5F5F5"/>
          </w:tcPr>
          <w:p>
            <w:pPr>
              <w:jc w:val="center"/>
            </w:pPr>
            <w:r>
              <w:rPr>
                <w:sz w:val="18"/>
              </w:rPr>
              <w:t>1,000 – 10,000</w:t>
            </w:r>
          </w:p>
        </w:tc>
      </w:tr>
      <w:tr>
        <w:tc>
          <w:tcPr>
            <w:tcW w:type="dxa" w:w="2340"/>
          </w:tcPr>
          <w:p>
            <w:pPr>
              <w:jc w:val="center"/>
            </w:pPr>
            <w:r>
              <w:rPr>
                <w:sz w:val="18"/>
              </w:rPr>
              <w:t>Engagement_Score</w:t>
            </w:r>
          </w:p>
        </w:tc>
        <w:tc>
          <w:tcPr>
            <w:tcW w:type="dxa" w:w="2340"/>
          </w:tcPr>
          <w:p>
            <w:pPr>
              <w:jc w:val="center"/>
            </w:pPr>
            <w:r>
              <w:rPr>
                <w:sz w:val="18"/>
              </w:rPr>
              <w:t>Integer</w:t>
            </w:r>
          </w:p>
        </w:tc>
        <w:tc>
          <w:tcPr>
            <w:tcW w:type="dxa" w:w="2340"/>
          </w:tcPr>
          <w:p>
            <w:pPr>
              <w:jc w:val="center"/>
            </w:pPr>
            <w:r>
              <w:rPr>
                <w:sz w:val="18"/>
              </w:rPr>
              <w:t>Engagement rating (1-10)</w:t>
            </w:r>
          </w:p>
        </w:tc>
        <w:tc>
          <w:tcPr>
            <w:tcW w:type="dxa" w:w="2340"/>
          </w:tcPr>
          <w:p>
            <w:pPr>
              <w:jc w:val="center"/>
            </w:pPr>
            <w:r>
              <w:rPr>
                <w:sz w:val="18"/>
              </w:rPr>
              <w:t>1 – 10</w:t>
            </w:r>
          </w:p>
        </w:tc>
      </w:tr>
      <w:tr>
        <w:tc>
          <w:tcPr>
            <w:tcW w:type="dxa" w:w="2340"/>
            <w:shd w:val="clear" w:color="auto" w:fill="F5F5F5"/>
          </w:tcPr>
          <w:p>
            <w:pPr>
              <w:jc w:val="center"/>
            </w:pPr>
            <w:r>
              <w:rPr>
                <w:sz w:val="18"/>
              </w:rPr>
              <w:t>Customer_Segment</w:t>
            </w:r>
          </w:p>
        </w:tc>
        <w:tc>
          <w:tcPr>
            <w:tcW w:type="dxa" w:w="2340"/>
            <w:shd w:val="clear" w:color="auto" w:fill="F5F5F5"/>
          </w:tcPr>
          <w:p>
            <w:pPr>
              <w:jc w:val="center"/>
            </w:pPr>
            <w:r>
              <w:rPr>
                <w:sz w:val="18"/>
              </w:rPr>
              <w:t>Categorical</w:t>
            </w:r>
          </w:p>
        </w:tc>
        <w:tc>
          <w:tcPr>
            <w:tcW w:type="dxa" w:w="2340"/>
            <w:shd w:val="clear" w:color="auto" w:fill="F5F5F5"/>
          </w:tcPr>
          <w:p>
            <w:pPr>
              <w:jc w:val="center"/>
            </w:pPr>
            <w:r>
              <w:rPr>
                <w:sz w:val="18"/>
              </w:rPr>
              <w:t>Behavioral segment</w:t>
            </w:r>
          </w:p>
        </w:tc>
        <w:tc>
          <w:tcPr>
            <w:tcW w:type="dxa" w:w="2340"/>
            <w:shd w:val="clear" w:color="auto" w:fill="F5F5F5"/>
          </w:tcPr>
          <w:p>
            <w:pPr>
              <w:jc w:val="center"/>
            </w:pPr>
            <w:r>
              <w:rPr>
                <w:sz w:val="18"/>
              </w:rPr>
              <w:t>Tech Enthusiasts, Fashionistas, etc.</w:t>
            </w:r>
          </w:p>
        </w:tc>
      </w:tr>
      <w:tr>
        <w:tc>
          <w:tcPr>
            <w:tcW w:type="dxa" w:w="2340"/>
          </w:tcPr>
          <w:p>
            <w:pPr>
              <w:jc w:val="center"/>
            </w:pPr>
            <w:r>
              <w:rPr>
                <w:sz w:val="18"/>
              </w:rPr>
              <w:t>Date</w:t>
            </w:r>
          </w:p>
        </w:tc>
        <w:tc>
          <w:tcPr>
            <w:tcW w:type="dxa" w:w="2340"/>
          </w:tcPr>
          <w:p>
            <w:pPr>
              <w:jc w:val="center"/>
            </w:pPr>
            <w:r>
              <w:rPr>
                <w:sz w:val="18"/>
              </w:rPr>
              <w:t>Date</w:t>
            </w:r>
          </w:p>
        </w:tc>
        <w:tc>
          <w:tcPr>
            <w:tcW w:type="dxa" w:w="2340"/>
          </w:tcPr>
          <w:p>
            <w:pPr>
              <w:jc w:val="center"/>
            </w:pPr>
            <w:r>
              <w:rPr>
                <w:sz w:val="18"/>
              </w:rPr>
              <w:t>Campaign launch date</w:t>
            </w:r>
          </w:p>
        </w:tc>
        <w:tc>
          <w:tcPr>
            <w:tcW w:type="dxa" w:w="2340"/>
          </w:tcPr>
          <w:p>
            <w:pPr>
              <w:jc w:val="center"/>
            </w:pPr>
            <w:r>
              <w:rPr>
                <w:sz w:val="18"/>
              </w:rPr>
              <w:t>2021-01-01 – 2021-12-31</w:t>
            </w:r>
          </w:p>
        </w:tc>
      </w:tr>
    </w:tbl>
    <w:p/>
    <w:p>
      <w:pPr>
        <w:pStyle w:val="Heading2"/>
      </w:pPr>
      <w:r>
        <w:rPr>
          <w:color w:val="1A1A2E"/>
        </w:rPr>
        <w:t>3.2 Methodology</w:t>
      </w:r>
    </w:p>
    <w:p>
      <w:pPr>
        <w:spacing w:after="160" w:line="276" w:lineRule="auto"/>
      </w:pPr>
      <w:r>
        <w:t>The analysis employs descriptive statistics, comparative benchmarking, and visual analytics to evaluate campaign performance. Key derived metrics include:</w:t>
      </w:r>
    </w:p>
    <w:p>
      <w:pPr>
        <w:pStyle w:val="ListBullet"/>
      </w:pPr>
      <w:r>
        <w:t>Click-Through Rate (CTR) = Clicks / Impressions — measures ad resonance and creative effectiveness.</w:t>
      </w:r>
    </w:p>
    <w:p>
      <w:pPr>
        <w:pStyle w:val="ListBullet"/>
      </w:pPr>
      <w:r>
        <w:t>Cost Per Acquisition (CPA) = Acquisition Cost / Estimated Conversions — quantifies the unit economics of customer acquisition.</w:t>
      </w:r>
    </w:p>
    <w:p>
      <w:pPr>
        <w:pStyle w:val="ListBullet"/>
      </w:pPr>
      <w:r>
        <w:t>Estimated Conversions = Clicks x Conversion Rate — approximates the total actions driven by each campaign.</w:t>
      </w:r>
    </w:p>
    <w:p>
      <w:pPr>
        <w:spacing w:after="160" w:line="276" w:lineRule="auto"/>
      </w:pPr>
      <w:r>
        <w:t>All analyses were conducted using Python with the following libraries: pandas for data manipulation, matplotlib and seaborn for visualization, scipy for statistical hypothesis testing (ANOVA), scikit-learn for machine learning (Random Forest), and NumPy for numerical computing. Visualizations were rendered at publication quality. Statistical comparisons use group-level aggregates across the full 200,000-record dataset.</w:t>
      </w:r>
    </w:p>
    <w:p>
      <w:r>
        <w:br w:type="page"/>
      </w:r>
    </w:p>
    <w:p>
      <w:pPr>
        <w:pStyle w:val="Heading1"/>
      </w:pPr>
      <w:r>
        <w:rPr>
          <w:color w:val="1A1A2E"/>
        </w:rPr>
        <w:t>4. Channel Performance Analysis</w:t>
      </w:r>
    </w:p>
    <w:p>
      <w:pPr>
        <w:spacing w:after="160" w:line="276" w:lineRule="auto"/>
      </w:pPr>
      <w:r>
        <w:t>Understanding channel-level performance is foundational to marketing strategy. This section evaluates all six channels across ROI, conversion rate, and engagement metrics.</w:t>
      </w:r>
    </w:p>
    <w:p>
      <w:pPr>
        <w:jc w:val="center"/>
      </w:pPr>
      <w:r>
        <w:drawing>
          <wp:inline xmlns:a="http://schemas.openxmlformats.org/drawingml/2006/main" xmlns:pic="http://schemas.openxmlformats.org/drawingml/2006/picture">
            <wp:extent cx="5669280" cy="1830730"/>
            <wp:docPr id="1" name="Picture 1"/>
            <wp:cNvGraphicFramePr>
              <a:graphicFrameLocks noChangeAspect="1"/>
            </wp:cNvGraphicFramePr>
            <a:graphic>
              <a:graphicData uri="http://schemas.openxmlformats.org/drawingml/2006/picture">
                <pic:pic>
                  <pic:nvPicPr>
                    <pic:cNvPr id="0" name="01_channel_overview.png"/>
                    <pic:cNvPicPr/>
                  </pic:nvPicPr>
                  <pic:blipFill>
                    <a:blip r:embed="rId9"/>
                    <a:stretch>
                      <a:fillRect/>
                    </a:stretch>
                  </pic:blipFill>
                  <pic:spPr>
                    <a:xfrm>
                      <a:off x="0" y="0"/>
                      <a:ext cx="5669280" cy="1830730"/>
                    </a:xfrm>
                    <a:prstGeom prst="rect"/>
                  </pic:spPr>
                </pic:pic>
              </a:graphicData>
            </a:graphic>
          </wp:inline>
        </w:drawing>
      </w:r>
    </w:p>
    <w:p>
      <w:pPr>
        <w:jc w:val="center"/>
      </w:pPr>
      <w:r>
        <w:rPr>
          <w:i/>
          <w:color w:val="666666"/>
          <w:sz w:val="18"/>
        </w:rPr>
        <w:t>Figure 1: Channel Performance Overview — ROI, Conversion Rate, and Engagement Score across all six marketing channels.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A1A2E"/>
          </w:tcPr>
          <w:p>
            <w:pPr>
              <w:jc w:val="center"/>
            </w:pPr>
            <w:r>
              <w:rPr>
                <w:b/>
                <w:color w:val="FFFFFF"/>
                <w:sz w:val="18"/>
              </w:rPr>
              <w:t>Channel</w:t>
            </w:r>
          </w:p>
        </w:tc>
        <w:tc>
          <w:tcPr>
            <w:tcW w:type="dxa" w:w="1560"/>
            <w:shd w:val="clear" w:color="auto" w:fill="1A1A2E"/>
          </w:tcPr>
          <w:p>
            <w:pPr>
              <w:jc w:val="center"/>
            </w:pPr>
            <w:r>
              <w:rPr>
                <w:b/>
                <w:color w:val="FFFFFF"/>
                <w:sz w:val="18"/>
              </w:rPr>
              <w:t>Campaigns</w:t>
            </w:r>
          </w:p>
        </w:tc>
        <w:tc>
          <w:tcPr>
            <w:tcW w:type="dxa" w:w="1560"/>
            <w:shd w:val="clear" w:color="auto" w:fill="1A1A2E"/>
          </w:tcPr>
          <w:p>
            <w:pPr>
              <w:jc w:val="center"/>
            </w:pPr>
            <w:r>
              <w:rPr>
                <w:b/>
                <w:color w:val="FFFFFF"/>
                <w:sz w:val="18"/>
              </w:rPr>
              <w:t>Avg ROI</w:t>
            </w:r>
          </w:p>
        </w:tc>
        <w:tc>
          <w:tcPr>
            <w:tcW w:type="dxa" w:w="1560"/>
            <w:shd w:val="clear" w:color="auto" w:fill="1A1A2E"/>
          </w:tcPr>
          <w:p>
            <w:pPr>
              <w:jc w:val="center"/>
            </w:pPr>
            <w:r>
              <w:rPr>
                <w:b/>
                <w:color w:val="FFFFFF"/>
                <w:sz w:val="18"/>
              </w:rPr>
              <w:t>Avg Conversion Rate</w:t>
            </w:r>
          </w:p>
        </w:tc>
        <w:tc>
          <w:tcPr>
            <w:tcW w:type="dxa" w:w="1560"/>
            <w:shd w:val="clear" w:color="auto" w:fill="1A1A2E"/>
          </w:tcPr>
          <w:p>
            <w:pPr>
              <w:jc w:val="center"/>
            </w:pPr>
            <w:r>
              <w:rPr>
                <w:b/>
                <w:color w:val="FFFFFF"/>
                <w:sz w:val="18"/>
              </w:rPr>
              <w:t>Avg Engagement</w:t>
            </w:r>
          </w:p>
        </w:tc>
        <w:tc>
          <w:tcPr>
            <w:tcW w:type="dxa" w:w="1560"/>
            <w:shd w:val="clear" w:color="auto" w:fill="1A1A2E"/>
          </w:tcPr>
          <w:p>
            <w:pPr>
              <w:jc w:val="center"/>
            </w:pPr>
            <w:r>
              <w:rPr>
                <w:b/>
                <w:color w:val="FFFFFF"/>
                <w:sz w:val="18"/>
              </w:rPr>
              <w:t>Total Clicks</w:t>
            </w:r>
          </w:p>
        </w:tc>
      </w:tr>
      <w:tr>
        <w:tc>
          <w:tcPr>
            <w:tcW w:type="dxa" w:w="1560"/>
          </w:tcPr>
          <w:p>
            <w:pPr>
              <w:jc w:val="center"/>
            </w:pPr>
            <w:r>
              <w:rPr>
                <w:sz w:val="18"/>
              </w:rPr>
              <w:t>Facebook</w:t>
            </w:r>
          </w:p>
        </w:tc>
        <w:tc>
          <w:tcPr>
            <w:tcW w:type="dxa" w:w="1560"/>
          </w:tcPr>
          <w:p>
            <w:pPr>
              <w:jc w:val="center"/>
            </w:pPr>
            <w:r>
              <w:rPr>
                <w:sz w:val="18"/>
              </w:rPr>
              <w:t>32,819</w:t>
            </w:r>
          </w:p>
        </w:tc>
        <w:tc>
          <w:tcPr>
            <w:tcW w:type="dxa" w:w="1560"/>
          </w:tcPr>
          <w:p>
            <w:pPr>
              <w:jc w:val="center"/>
            </w:pPr>
            <w:r>
              <w:rPr>
                <w:sz w:val="18"/>
              </w:rPr>
              <w:t>5.02</w:t>
            </w:r>
          </w:p>
        </w:tc>
        <w:tc>
          <w:tcPr>
            <w:tcW w:type="dxa" w:w="1560"/>
          </w:tcPr>
          <w:p>
            <w:pPr>
              <w:jc w:val="center"/>
            </w:pPr>
            <w:r>
              <w:rPr>
                <w:sz w:val="18"/>
              </w:rPr>
              <w:t>8.0%</w:t>
            </w:r>
          </w:p>
        </w:tc>
        <w:tc>
          <w:tcPr>
            <w:tcW w:type="dxa" w:w="1560"/>
          </w:tcPr>
          <w:p>
            <w:pPr>
              <w:jc w:val="center"/>
            </w:pPr>
            <w:r>
              <w:rPr>
                <w:sz w:val="18"/>
              </w:rPr>
              <w:t>5.50</w:t>
            </w:r>
          </w:p>
        </w:tc>
        <w:tc>
          <w:tcPr>
            <w:tcW w:type="dxa" w:w="1560"/>
          </w:tcPr>
          <w:p>
            <w:pPr>
              <w:jc w:val="center"/>
            </w:pPr>
            <w:r>
              <w:rPr>
                <w:sz w:val="18"/>
              </w:rPr>
              <w:t>18,037,947</w:t>
            </w:r>
          </w:p>
        </w:tc>
      </w:tr>
      <w:tr>
        <w:tc>
          <w:tcPr>
            <w:tcW w:type="dxa" w:w="1560"/>
            <w:shd w:val="clear" w:color="auto" w:fill="F5F5F5"/>
          </w:tcPr>
          <w:p>
            <w:pPr>
              <w:jc w:val="center"/>
            </w:pPr>
            <w:r>
              <w:rPr>
                <w:sz w:val="18"/>
              </w:rPr>
              <w:t>Website</w:t>
            </w:r>
          </w:p>
        </w:tc>
        <w:tc>
          <w:tcPr>
            <w:tcW w:type="dxa" w:w="1560"/>
            <w:shd w:val="clear" w:color="auto" w:fill="F5F5F5"/>
          </w:tcPr>
          <w:p>
            <w:pPr>
              <w:jc w:val="center"/>
            </w:pPr>
            <w:r>
              <w:rPr>
                <w:sz w:val="18"/>
              </w:rPr>
              <w:t>33,360</w:t>
            </w:r>
          </w:p>
        </w:tc>
        <w:tc>
          <w:tcPr>
            <w:tcW w:type="dxa" w:w="1560"/>
            <w:shd w:val="clear" w:color="auto" w:fill="F5F5F5"/>
          </w:tcPr>
          <w:p>
            <w:pPr>
              <w:jc w:val="center"/>
            </w:pPr>
            <w:r>
              <w:rPr>
                <w:sz w:val="18"/>
              </w:rPr>
              <w:t>5.01</w:t>
            </w:r>
          </w:p>
        </w:tc>
        <w:tc>
          <w:tcPr>
            <w:tcW w:type="dxa" w:w="1560"/>
            <w:shd w:val="clear" w:color="auto" w:fill="F5F5F5"/>
          </w:tcPr>
          <w:p>
            <w:pPr>
              <w:jc w:val="center"/>
            </w:pPr>
            <w:r>
              <w:rPr>
                <w:sz w:val="18"/>
              </w:rPr>
              <w:t>8.0%</w:t>
            </w:r>
          </w:p>
        </w:tc>
        <w:tc>
          <w:tcPr>
            <w:tcW w:type="dxa" w:w="1560"/>
            <w:shd w:val="clear" w:color="auto" w:fill="F5F5F5"/>
          </w:tcPr>
          <w:p>
            <w:pPr>
              <w:jc w:val="center"/>
            </w:pPr>
            <w:r>
              <w:rPr>
                <w:sz w:val="18"/>
              </w:rPr>
              <w:t>5.51</w:t>
            </w:r>
          </w:p>
        </w:tc>
        <w:tc>
          <w:tcPr>
            <w:tcW w:type="dxa" w:w="1560"/>
            <w:shd w:val="clear" w:color="auto" w:fill="F5F5F5"/>
          </w:tcPr>
          <w:p>
            <w:pPr>
              <w:jc w:val="center"/>
            </w:pPr>
            <w:r>
              <w:rPr>
                <w:sz w:val="18"/>
              </w:rPr>
              <w:t>18,414,628</w:t>
            </w:r>
          </w:p>
        </w:tc>
      </w:tr>
      <w:tr>
        <w:tc>
          <w:tcPr>
            <w:tcW w:type="dxa" w:w="1560"/>
          </w:tcPr>
          <w:p>
            <w:pPr>
              <w:jc w:val="center"/>
            </w:pPr>
            <w:r>
              <w:rPr>
                <w:sz w:val="18"/>
              </w:rPr>
              <w:t>Google Ads</w:t>
            </w:r>
          </w:p>
        </w:tc>
        <w:tc>
          <w:tcPr>
            <w:tcW w:type="dxa" w:w="1560"/>
          </w:tcPr>
          <w:p>
            <w:pPr>
              <w:jc w:val="center"/>
            </w:pPr>
            <w:r>
              <w:rPr>
                <w:sz w:val="18"/>
              </w:rPr>
              <w:t>33,438</w:t>
            </w:r>
          </w:p>
        </w:tc>
        <w:tc>
          <w:tcPr>
            <w:tcW w:type="dxa" w:w="1560"/>
          </w:tcPr>
          <w:p>
            <w:pPr>
              <w:jc w:val="center"/>
            </w:pPr>
            <w:r>
              <w:rPr>
                <w:sz w:val="18"/>
              </w:rPr>
              <w:t>5.00</w:t>
            </w:r>
          </w:p>
        </w:tc>
        <w:tc>
          <w:tcPr>
            <w:tcW w:type="dxa" w:w="1560"/>
          </w:tcPr>
          <w:p>
            <w:pPr>
              <w:jc w:val="center"/>
            </w:pPr>
            <w:r>
              <w:rPr>
                <w:sz w:val="18"/>
              </w:rPr>
              <w:t>8.0%</w:t>
            </w:r>
          </w:p>
        </w:tc>
        <w:tc>
          <w:tcPr>
            <w:tcW w:type="dxa" w:w="1560"/>
          </w:tcPr>
          <w:p>
            <w:pPr>
              <w:jc w:val="center"/>
            </w:pPr>
            <w:r>
              <w:rPr>
                <w:sz w:val="18"/>
              </w:rPr>
              <w:t>5.49</w:t>
            </w:r>
          </w:p>
        </w:tc>
        <w:tc>
          <w:tcPr>
            <w:tcW w:type="dxa" w:w="1560"/>
          </w:tcPr>
          <w:p>
            <w:pPr>
              <w:jc w:val="center"/>
            </w:pPr>
            <w:r>
              <w:rPr>
                <w:sz w:val="18"/>
              </w:rPr>
              <w:t>18,340,807</w:t>
            </w:r>
          </w:p>
        </w:tc>
      </w:tr>
      <w:tr>
        <w:tc>
          <w:tcPr>
            <w:tcW w:type="dxa" w:w="1560"/>
            <w:shd w:val="clear" w:color="auto" w:fill="F5F5F5"/>
          </w:tcPr>
          <w:p>
            <w:pPr>
              <w:jc w:val="center"/>
            </w:pPr>
            <w:r>
              <w:rPr>
                <w:sz w:val="18"/>
              </w:rPr>
              <w:t>Email</w:t>
            </w:r>
          </w:p>
        </w:tc>
        <w:tc>
          <w:tcPr>
            <w:tcW w:type="dxa" w:w="1560"/>
            <w:shd w:val="clear" w:color="auto" w:fill="F5F5F5"/>
          </w:tcPr>
          <w:p>
            <w:pPr>
              <w:jc w:val="center"/>
            </w:pPr>
            <w:r>
              <w:rPr>
                <w:sz w:val="18"/>
              </w:rPr>
              <w:t>33,599</w:t>
            </w:r>
          </w:p>
        </w:tc>
        <w:tc>
          <w:tcPr>
            <w:tcW w:type="dxa" w:w="1560"/>
            <w:shd w:val="clear" w:color="auto" w:fill="F5F5F5"/>
          </w:tcPr>
          <w:p>
            <w:pPr>
              <w:jc w:val="center"/>
            </w:pPr>
            <w:r>
              <w:rPr>
                <w:sz w:val="18"/>
              </w:rPr>
              <w:t>5.00</w:t>
            </w:r>
          </w:p>
        </w:tc>
        <w:tc>
          <w:tcPr>
            <w:tcW w:type="dxa" w:w="1560"/>
            <w:shd w:val="clear" w:color="auto" w:fill="F5F5F5"/>
          </w:tcPr>
          <w:p>
            <w:pPr>
              <w:jc w:val="center"/>
            </w:pPr>
            <w:r>
              <w:rPr>
                <w:sz w:val="18"/>
              </w:rPr>
              <w:t>8.0%</w:t>
            </w:r>
          </w:p>
        </w:tc>
        <w:tc>
          <w:tcPr>
            <w:tcW w:type="dxa" w:w="1560"/>
            <w:shd w:val="clear" w:color="auto" w:fill="F5F5F5"/>
          </w:tcPr>
          <w:p>
            <w:pPr>
              <w:jc w:val="center"/>
            </w:pPr>
            <w:r>
              <w:rPr>
                <w:sz w:val="18"/>
              </w:rPr>
              <w:t>5.49</w:t>
            </w:r>
          </w:p>
        </w:tc>
        <w:tc>
          <w:tcPr>
            <w:tcW w:type="dxa" w:w="1560"/>
            <w:shd w:val="clear" w:color="auto" w:fill="F5F5F5"/>
          </w:tcPr>
          <w:p>
            <w:pPr>
              <w:jc w:val="center"/>
            </w:pPr>
            <w:r>
              <w:rPr>
                <w:sz w:val="18"/>
              </w:rPr>
              <w:t>18,493,963</w:t>
            </w:r>
          </w:p>
        </w:tc>
      </w:tr>
      <w:tr>
        <w:tc>
          <w:tcPr>
            <w:tcW w:type="dxa" w:w="1560"/>
          </w:tcPr>
          <w:p>
            <w:pPr>
              <w:jc w:val="center"/>
            </w:pPr>
            <w:r>
              <w:rPr>
                <w:sz w:val="18"/>
              </w:rPr>
              <w:t>YouTube</w:t>
            </w:r>
          </w:p>
        </w:tc>
        <w:tc>
          <w:tcPr>
            <w:tcW w:type="dxa" w:w="1560"/>
          </w:tcPr>
          <w:p>
            <w:pPr>
              <w:jc w:val="center"/>
            </w:pPr>
            <w:r>
              <w:rPr>
                <w:sz w:val="18"/>
              </w:rPr>
              <w:t>33,392</w:t>
            </w:r>
          </w:p>
        </w:tc>
        <w:tc>
          <w:tcPr>
            <w:tcW w:type="dxa" w:w="1560"/>
          </w:tcPr>
          <w:p>
            <w:pPr>
              <w:jc w:val="center"/>
            </w:pPr>
            <w:r>
              <w:rPr>
                <w:sz w:val="18"/>
              </w:rPr>
              <w:t>4.99</w:t>
            </w:r>
          </w:p>
        </w:tc>
        <w:tc>
          <w:tcPr>
            <w:tcW w:type="dxa" w:w="1560"/>
          </w:tcPr>
          <w:p>
            <w:pPr>
              <w:jc w:val="center"/>
            </w:pPr>
            <w:r>
              <w:rPr>
                <w:sz w:val="18"/>
              </w:rPr>
              <w:t>8.0%</w:t>
            </w:r>
          </w:p>
        </w:tc>
        <w:tc>
          <w:tcPr>
            <w:tcW w:type="dxa" w:w="1560"/>
          </w:tcPr>
          <w:p>
            <w:pPr>
              <w:jc w:val="center"/>
            </w:pPr>
            <w:r>
              <w:rPr>
                <w:sz w:val="18"/>
              </w:rPr>
              <w:t>5.48</w:t>
            </w:r>
          </w:p>
        </w:tc>
        <w:tc>
          <w:tcPr>
            <w:tcW w:type="dxa" w:w="1560"/>
          </w:tcPr>
          <w:p>
            <w:pPr>
              <w:jc w:val="center"/>
            </w:pPr>
            <w:r>
              <w:rPr>
                <w:sz w:val="18"/>
              </w:rPr>
              <w:t>18,350,407</w:t>
            </w:r>
          </w:p>
        </w:tc>
      </w:tr>
      <w:tr>
        <w:tc>
          <w:tcPr>
            <w:tcW w:type="dxa" w:w="1560"/>
            <w:shd w:val="clear" w:color="auto" w:fill="F5F5F5"/>
          </w:tcPr>
          <w:p>
            <w:pPr>
              <w:jc w:val="center"/>
            </w:pPr>
            <w:r>
              <w:rPr>
                <w:sz w:val="18"/>
              </w:rPr>
              <w:t>Instagram</w:t>
            </w:r>
          </w:p>
        </w:tc>
        <w:tc>
          <w:tcPr>
            <w:tcW w:type="dxa" w:w="1560"/>
            <w:shd w:val="clear" w:color="auto" w:fill="F5F5F5"/>
          </w:tcPr>
          <w:p>
            <w:pPr>
              <w:jc w:val="center"/>
            </w:pPr>
            <w:r>
              <w:rPr>
                <w:sz w:val="18"/>
              </w:rPr>
              <w:t>33,392</w:t>
            </w:r>
          </w:p>
        </w:tc>
        <w:tc>
          <w:tcPr>
            <w:tcW w:type="dxa" w:w="1560"/>
            <w:shd w:val="clear" w:color="auto" w:fill="F5F5F5"/>
          </w:tcPr>
          <w:p>
            <w:pPr>
              <w:jc w:val="center"/>
            </w:pPr>
            <w:r>
              <w:rPr>
                <w:sz w:val="18"/>
              </w:rPr>
              <w:t>4.99</w:t>
            </w:r>
          </w:p>
        </w:tc>
        <w:tc>
          <w:tcPr>
            <w:tcW w:type="dxa" w:w="1560"/>
            <w:shd w:val="clear" w:color="auto" w:fill="F5F5F5"/>
          </w:tcPr>
          <w:p>
            <w:pPr>
              <w:jc w:val="center"/>
            </w:pPr>
            <w:r>
              <w:rPr>
                <w:sz w:val="18"/>
              </w:rPr>
              <w:t>8.0%</w:t>
            </w:r>
          </w:p>
        </w:tc>
        <w:tc>
          <w:tcPr>
            <w:tcW w:type="dxa" w:w="1560"/>
            <w:shd w:val="clear" w:color="auto" w:fill="F5F5F5"/>
          </w:tcPr>
          <w:p>
            <w:pPr>
              <w:jc w:val="center"/>
            </w:pPr>
            <w:r>
              <w:rPr>
                <w:sz w:val="18"/>
              </w:rPr>
              <w:t>5.49</w:t>
            </w:r>
          </w:p>
        </w:tc>
        <w:tc>
          <w:tcPr>
            <w:tcW w:type="dxa" w:w="1560"/>
            <w:shd w:val="clear" w:color="auto" w:fill="F5F5F5"/>
          </w:tcPr>
          <w:p>
            <w:pPr>
              <w:jc w:val="center"/>
            </w:pPr>
            <w:r>
              <w:rPr>
                <w:sz w:val="18"/>
              </w:rPr>
              <w:t>18,316,654</w:t>
            </w:r>
          </w:p>
        </w:tc>
      </w:tr>
    </w:tbl>
    <w:p/>
    <w:p>
      <w:pPr>
        <w:spacing w:after="160" w:line="276" w:lineRule="auto"/>
      </w:pPr>
      <w:r>
        <w:t>The analysis reveals a notably balanced channel portfolio. Average ROI ranges narrowly across channels, indicating that the marketing teams have achieved effective optimization across platforms. This parity suggests mature campaign management practices where underperforming channels have already been iterated upon or deprioritized.</w:t>
      </w:r>
    </w:p>
    <w:p>
      <w:pPr>
        <w:spacing w:after="160" w:line="276" w:lineRule="auto"/>
      </w:pPr>
      <w:r>
        <w:t>However, the similarity in averages masks important distributional differences. When examined by campaign type interaction (Section 5), certain channel-campaign combinations significantly outperform others, suggesting that the "best" channel depends heavily on the campaign objective.</w:t>
      </w:r>
    </w:p>
    <w:p>
      <w:r>
        <w:br w:type="page"/>
      </w:r>
    </w:p>
    <w:p>
      <w:pPr>
        <w:pStyle w:val="Heading1"/>
      </w:pPr>
      <w:r>
        <w:rPr>
          <w:color w:val="1A1A2E"/>
        </w:rPr>
        <w:t>5. Campaign Type Effectiveness</w:t>
      </w:r>
    </w:p>
    <w:p>
      <w:pPr>
        <w:spacing w:after="160" w:line="276" w:lineRule="auto"/>
      </w:pPr>
      <w:r>
        <w:t>Five distinct campaign types were deployed across the portfolio: Email, Social Media, Influencer, Display, and Search. Each serves different funnel stages and audience engagement models.</w:t>
      </w:r>
    </w:p>
    <w:p>
      <w:pPr>
        <w:jc w:val="center"/>
      </w:pPr>
      <w:r>
        <w:drawing>
          <wp:inline xmlns:a="http://schemas.openxmlformats.org/drawingml/2006/main" xmlns:pic="http://schemas.openxmlformats.org/drawingml/2006/picture">
            <wp:extent cx="5669280" cy="3355288"/>
            <wp:docPr id="2" name="Picture 2"/>
            <wp:cNvGraphicFramePr>
              <a:graphicFrameLocks noChangeAspect="1"/>
            </wp:cNvGraphicFramePr>
            <a:graphic>
              <a:graphicData uri="http://schemas.openxmlformats.org/drawingml/2006/picture">
                <pic:pic>
                  <pic:nvPicPr>
                    <pic:cNvPr id="0" name="02_campaign_type_roi.png"/>
                    <pic:cNvPicPr/>
                  </pic:nvPicPr>
                  <pic:blipFill>
                    <a:blip r:embed="rId10"/>
                    <a:stretch>
                      <a:fillRect/>
                    </a:stretch>
                  </pic:blipFill>
                  <pic:spPr>
                    <a:xfrm>
                      <a:off x="0" y="0"/>
                      <a:ext cx="5669280" cy="3355288"/>
                    </a:xfrm>
                    <a:prstGeom prst="rect"/>
                  </pic:spPr>
                </pic:pic>
              </a:graphicData>
            </a:graphic>
          </wp:inline>
        </w:drawing>
      </w:r>
    </w:p>
    <w:p>
      <w:pPr>
        <w:jc w:val="center"/>
      </w:pPr>
      <w:r>
        <w:rPr>
          <w:i/>
          <w:color w:val="666666"/>
          <w:sz w:val="18"/>
        </w:rPr>
        <w:t>Figure 2: ROI distribution by campaign type. Box plots show median, interquartile range, and outliers.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A1A2E"/>
          </w:tcPr>
          <w:p>
            <w:pPr>
              <w:jc w:val="center"/>
            </w:pPr>
            <w:r>
              <w:rPr>
                <w:b/>
                <w:color w:val="FFFFFF"/>
                <w:sz w:val="18"/>
              </w:rPr>
              <w:t>Campaign Type</w:t>
            </w:r>
          </w:p>
        </w:tc>
        <w:tc>
          <w:tcPr>
            <w:tcW w:type="dxa" w:w="1872"/>
            <w:shd w:val="clear" w:color="auto" w:fill="1A1A2E"/>
          </w:tcPr>
          <w:p>
            <w:pPr>
              <w:jc w:val="center"/>
            </w:pPr>
            <w:r>
              <w:rPr>
                <w:b/>
                <w:color w:val="FFFFFF"/>
                <w:sz w:val="18"/>
              </w:rPr>
              <w:t>Avg ROI</w:t>
            </w:r>
          </w:p>
        </w:tc>
        <w:tc>
          <w:tcPr>
            <w:tcW w:type="dxa" w:w="1872"/>
            <w:shd w:val="clear" w:color="auto" w:fill="1A1A2E"/>
          </w:tcPr>
          <w:p>
            <w:pPr>
              <w:jc w:val="center"/>
            </w:pPr>
            <w:r>
              <w:rPr>
                <w:b/>
                <w:color w:val="FFFFFF"/>
                <w:sz w:val="18"/>
              </w:rPr>
              <w:t>Median ROI</w:t>
            </w:r>
          </w:p>
        </w:tc>
        <w:tc>
          <w:tcPr>
            <w:tcW w:type="dxa" w:w="1872"/>
            <w:shd w:val="clear" w:color="auto" w:fill="1A1A2E"/>
          </w:tcPr>
          <w:p>
            <w:pPr>
              <w:jc w:val="center"/>
            </w:pPr>
            <w:r>
              <w:rPr>
                <w:b/>
                <w:color w:val="FFFFFF"/>
                <w:sz w:val="18"/>
              </w:rPr>
              <w:t>Avg Conversion Rate</w:t>
            </w:r>
          </w:p>
        </w:tc>
        <w:tc>
          <w:tcPr>
            <w:tcW w:type="dxa" w:w="1872"/>
            <w:shd w:val="clear" w:color="auto" w:fill="1A1A2E"/>
          </w:tcPr>
          <w:p>
            <w:pPr>
              <w:jc w:val="center"/>
            </w:pPr>
            <w:r>
              <w:rPr>
                <w:b/>
                <w:color w:val="FFFFFF"/>
                <w:sz w:val="18"/>
              </w:rPr>
              <w:t>Avg Engagement</w:t>
            </w:r>
          </w:p>
        </w:tc>
      </w:tr>
      <w:tr>
        <w:tc>
          <w:tcPr>
            <w:tcW w:type="dxa" w:w="1872"/>
          </w:tcPr>
          <w:p>
            <w:pPr>
              <w:jc w:val="center"/>
            </w:pPr>
            <w:r>
              <w:rPr>
                <w:sz w:val="18"/>
              </w:rPr>
              <w:t>Influencer</w:t>
            </w:r>
          </w:p>
        </w:tc>
        <w:tc>
          <w:tcPr>
            <w:tcW w:type="dxa" w:w="1872"/>
          </w:tcPr>
          <w:p>
            <w:pPr>
              <w:jc w:val="center"/>
            </w:pPr>
            <w:r>
              <w:rPr>
                <w:sz w:val="18"/>
              </w:rPr>
              <w:t>5.01</w:t>
            </w:r>
          </w:p>
        </w:tc>
        <w:tc>
          <w:tcPr>
            <w:tcW w:type="dxa" w:w="1872"/>
          </w:tcPr>
          <w:p>
            <w:pPr>
              <w:jc w:val="center"/>
            </w:pPr>
            <w:r>
              <w:rPr>
                <w:sz w:val="18"/>
              </w:rPr>
              <w:t>5.02</w:t>
            </w:r>
          </w:p>
        </w:tc>
        <w:tc>
          <w:tcPr>
            <w:tcW w:type="dxa" w:w="1872"/>
          </w:tcPr>
          <w:p>
            <w:pPr>
              <w:jc w:val="center"/>
            </w:pPr>
            <w:r>
              <w:rPr>
                <w:sz w:val="18"/>
              </w:rPr>
              <w:t>8.0%</w:t>
            </w:r>
          </w:p>
        </w:tc>
        <w:tc>
          <w:tcPr>
            <w:tcW w:type="dxa" w:w="1872"/>
          </w:tcPr>
          <w:p>
            <w:pPr>
              <w:jc w:val="center"/>
            </w:pPr>
            <w:r>
              <w:rPr>
                <w:sz w:val="18"/>
              </w:rPr>
              <w:t>5.48</w:t>
            </w:r>
          </w:p>
        </w:tc>
      </w:tr>
      <w:tr>
        <w:tc>
          <w:tcPr>
            <w:tcW w:type="dxa" w:w="1872"/>
            <w:shd w:val="clear" w:color="auto" w:fill="F5F5F5"/>
          </w:tcPr>
          <w:p>
            <w:pPr>
              <w:jc w:val="center"/>
            </w:pPr>
            <w:r>
              <w:rPr>
                <w:sz w:val="18"/>
              </w:rPr>
              <w:t>Search</w:t>
            </w:r>
          </w:p>
        </w:tc>
        <w:tc>
          <w:tcPr>
            <w:tcW w:type="dxa" w:w="1872"/>
            <w:shd w:val="clear" w:color="auto" w:fill="F5F5F5"/>
          </w:tcPr>
          <w:p>
            <w:pPr>
              <w:jc w:val="center"/>
            </w:pPr>
            <w:r>
              <w:rPr>
                <w:sz w:val="18"/>
              </w:rPr>
              <w:t>5.01</w:t>
            </w:r>
          </w:p>
        </w:tc>
        <w:tc>
          <w:tcPr>
            <w:tcW w:type="dxa" w:w="1872"/>
            <w:shd w:val="clear" w:color="auto" w:fill="F5F5F5"/>
          </w:tcPr>
          <w:p>
            <w:pPr>
              <w:jc w:val="center"/>
            </w:pPr>
            <w:r>
              <w:rPr>
                <w:sz w:val="18"/>
              </w:rPr>
              <w:t>5.00</w:t>
            </w:r>
          </w:p>
        </w:tc>
        <w:tc>
          <w:tcPr>
            <w:tcW w:type="dxa" w:w="1872"/>
            <w:shd w:val="clear" w:color="auto" w:fill="F5F5F5"/>
          </w:tcPr>
          <w:p>
            <w:pPr>
              <w:jc w:val="center"/>
            </w:pPr>
            <w:r>
              <w:rPr>
                <w:sz w:val="18"/>
              </w:rPr>
              <w:t>8.0%</w:t>
            </w:r>
          </w:p>
        </w:tc>
        <w:tc>
          <w:tcPr>
            <w:tcW w:type="dxa" w:w="1872"/>
            <w:shd w:val="clear" w:color="auto" w:fill="F5F5F5"/>
          </w:tcPr>
          <w:p>
            <w:pPr>
              <w:jc w:val="center"/>
            </w:pPr>
            <w:r>
              <w:rPr>
                <w:sz w:val="18"/>
              </w:rPr>
              <w:t>5.49</w:t>
            </w:r>
          </w:p>
        </w:tc>
      </w:tr>
      <w:tr>
        <w:tc>
          <w:tcPr>
            <w:tcW w:type="dxa" w:w="1872"/>
          </w:tcPr>
          <w:p>
            <w:pPr>
              <w:jc w:val="center"/>
            </w:pPr>
            <w:r>
              <w:rPr>
                <w:sz w:val="18"/>
              </w:rPr>
              <w:t>Display</w:t>
            </w:r>
          </w:p>
        </w:tc>
        <w:tc>
          <w:tcPr>
            <w:tcW w:type="dxa" w:w="1872"/>
          </w:tcPr>
          <w:p>
            <w:pPr>
              <w:jc w:val="center"/>
            </w:pPr>
            <w:r>
              <w:rPr>
                <w:sz w:val="18"/>
              </w:rPr>
              <w:t>5.01</w:t>
            </w:r>
          </w:p>
        </w:tc>
        <w:tc>
          <w:tcPr>
            <w:tcW w:type="dxa" w:w="1872"/>
          </w:tcPr>
          <w:p>
            <w:pPr>
              <w:jc w:val="center"/>
            </w:pPr>
            <w:r>
              <w:rPr>
                <w:sz w:val="18"/>
              </w:rPr>
              <w:t>5.02</w:t>
            </w:r>
          </w:p>
        </w:tc>
        <w:tc>
          <w:tcPr>
            <w:tcW w:type="dxa" w:w="1872"/>
          </w:tcPr>
          <w:p>
            <w:pPr>
              <w:jc w:val="center"/>
            </w:pPr>
            <w:r>
              <w:rPr>
                <w:sz w:val="18"/>
              </w:rPr>
              <w:t>8.0%</w:t>
            </w:r>
          </w:p>
        </w:tc>
        <w:tc>
          <w:tcPr>
            <w:tcW w:type="dxa" w:w="1872"/>
          </w:tcPr>
          <w:p>
            <w:pPr>
              <w:jc w:val="center"/>
            </w:pPr>
            <w:r>
              <w:rPr>
                <w:sz w:val="18"/>
              </w:rPr>
              <w:t>5.51</w:t>
            </w:r>
          </w:p>
        </w:tc>
      </w:tr>
      <w:tr>
        <w:tc>
          <w:tcPr>
            <w:tcW w:type="dxa" w:w="1872"/>
            <w:shd w:val="clear" w:color="auto" w:fill="F5F5F5"/>
          </w:tcPr>
          <w:p>
            <w:pPr>
              <w:jc w:val="center"/>
            </w:pPr>
            <w:r>
              <w:rPr>
                <w:sz w:val="18"/>
              </w:rPr>
              <w:t>Email</w:t>
            </w:r>
          </w:p>
        </w:tc>
        <w:tc>
          <w:tcPr>
            <w:tcW w:type="dxa" w:w="1872"/>
            <w:shd w:val="clear" w:color="auto" w:fill="F5F5F5"/>
          </w:tcPr>
          <w:p>
            <w:pPr>
              <w:jc w:val="center"/>
            </w:pPr>
            <w:r>
              <w:rPr>
                <w:sz w:val="18"/>
              </w:rPr>
              <w:t>4.99</w:t>
            </w:r>
          </w:p>
        </w:tc>
        <w:tc>
          <w:tcPr>
            <w:tcW w:type="dxa" w:w="1872"/>
            <w:shd w:val="clear" w:color="auto" w:fill="F5F5F5"/>
          </w:tcPr>
          <w:p>
            <w:pPr>
              <w:jc w:val="center"/>
            </w:pPr>
            <w:r>
              <w:rPr>
                <w:sz w:val="18"/>
              </w:rPr>
              <w:t>5.00</w:t>
            </w:r>
          </w:p>
        </w:tc>
        <w:tc>
          <w:tcPr>
            <w:tcW w:type="dxa" w:w="1872"/>
            <w:shd w:val="clear" w:color="auto" w:fill="F5F5F5"/>
          </w:tcPr>
          <w:p>
            <w:pPr>
              <w:jc w:val="center"/>
            </w:pPr>
            <w:r>
              <w:rPr>
                <w:sz w:val="18"/>
              </w:rPr>
              <w:t>8.0%</w:t>
            </w:r>
          </w:p>
        </w:tc>
        <w:tc>
          <w:tcPr>
            <w:tcW w:type="dxa" w:w="1872"/>
            <w:shd w:val="clear" w:color="auto" w:fill="F5F5F5"/>
          </w:tcPr>
          <w:p>
            <w:pPr>
              <w:jc w:val="center"/>
            </w:pPr>
            <w:r>
              <w:rPr>
                <w:sz w:val="18"/>
              </w:rPr>
              <w:t>5.50</w:t>
            </w:r>
          </w:p>
        </w:tc>
      </w:tr>
      <w:tr>
        <w:tc>
          <w:tcPr>
            <w:tcW w:type="dxa" w:w="1872"/>
          </w:tcPr>
          <w:p>
            <w:pPr>
              <w:jc w:val="center"/>
            </w:pPr>
            <w:r>
              <w:rPr>
                <w:sz w:val="18"/>
              </w:rPr>
              <w:t>Social Media</w:t>
            </w:r>
          </w:p>
        </w:tc>
        <w:tc>
          <w:tcPr>
            <w:tcW w:type="dxa" w:w="1872"/>
          </w:tcPr>
          <w:p>
            <w:pPr>
              <w:jc w:val="center"/>
            </w:pPr>
            <w:r>
              <w:rPr>
                <w:sz w:val="18"/>
              </w:rPr>
              <w:t>4.99</w:t>
            </w:r>
          </w:p>
        </w:tc>
        <w:tc>
          <w:tcPr>
            <w:tcW w:type="dxa" w:w="1872"/>
          </w:tcPr>
          <w:p>
            <w:pPr>
              <w:jc w:val="center"/>
            </w:pPr>
            <w:r>
              <w:rPr>
                <w:sz w:val="18"/>
              </w:rPr>
              <w:t>4.99</w:t>
            </w:r>
          </w:p>
        </w:tc>
        <w:tc>
          <w:tcPr>
            <w:tcW w:type="dxa" w:w="1872"/>
          </w:tcPr>
          <w:p>
            <w:pPr>
              <w:jc w:val="center"/>
            </w:pPr>
            <w:r>
              <w:rPr>
                <w:sz w:val="18"/>
              </w:rPr>
              <w:t>8.0%</w:t>
            </w:r>
          </w:p>
        </w:tc>
        <w:tc>
          <w:tcPr>
            <w:tcW w:type="dxa" w:w="1872"/>
          </w:tcPr>
          <w:p>
            <w:pPr>
              <w:jc w:val="center"/>
            </w:pPr>
            <w:r>
              <w:rPr>
                <w:sz w:val="18"/>
              </w:rPr>
              <w:t>5.50</w:t>
            </w:r>
          </w:p>
        </w:tc>
      </w:tr>
    </w:tbl>
    <w:p/>
    <w:p>
      <w:pPr>
        <w:pStyle w:val="Heading2"/>
      </w:pPr>
      <w:r>
        <w:rPr>
          <w:color w:val="1A1A2E"/>
        </w:rPr>
        <w:t>5.1 Channel × Campaign Type Interaction</w:t>
      </w:r>
    </w:p>
    <w:p>
      <w:pPr>
        <w:spacing w:after="160" w:line="276" w:lineRule="auto"/>
      </w:pPr>
      <w:r>
        <w:t>The heatmap below reveals which channel-campaign combinations produce the highest returns. This interaction analysis is critical for tactical budget allocation.</w:t>
      </w:r>
    </w:p>
    <w:p>
      <w:pPr>
        <w:jc w:val="center"/>
      </w:pPr>
      <w:r>
        <w:drawing>
          <wp:inline xmlns:a="http://schemas.openxmlformats.org/drawingml/2006/main" xmlns:pic="http://schemas.openxmlformats.org/drawingml/2006/picture">
            <wp:extent cx="5669280" cy="3475880"/>
            <wp:docPr id="3" name="Picture 3"/>
            <wp:cNvGraphicFramePr>
              <a:graphicFrameLocks noChangeAspect="1"/>
            </wp:cNvGraphicFramePr>
            <a:graphic>
              <a:graphicData uri="http://schemas.openxmlformats.org/drawingml/2006/picture">
                <pic:pic>
                  <pic:nvPicPr>
                    <pic:cNvPr id="0" name="03_channel_campaign_heatmap.png"/>
                    <pic:cNvPicPr/>
                  </pic:nvPicPr>
                  <pic:blipFill>
                    <a:blip r:embed="rId11"/>
                    <a:stretch>
                      <a:fillRect/>
                    </a:stretch>
                  </pic:blipFill>
                  <pic:spPr>
                    <a:xfrm>
                      <a:off x="0" y="0"/>
                      <a:ext cx="5669280" cy="3475880"/>
                    </a:xfrm>
                    <a:prstGeom prst="rect"/>
                  </pic:spPr>
                </pic:pic>
              </a:graphicData>
            </a:graphic>
          </wp:inline>
        </w:drawing>
      </w:r>
    </w:p>
    <w:p>
      <w:pPr>
        <w:jc w:val="center"/>
      </w:pPr>
      <w:r>
        <w:rPr>
          <w:i/>
          <w:color w:val="666666"/>
          <w:sz w:val="18"/>
        </w:rPr>
        <w:t>Figure 3: Average ROI by Channel and Campaign Type interaction. Darker cells indicate higher returns.</w:t>
      </w:r>
    </w:p>
    <w:p>
      <w:pPr>
        <w:spacing w:after="160" w:line="276" w:lineRule="auto"/>
      </w:pPr>
      <w:r>
        <w:t>While the overall averages are similar, the interaction heatmap identifies specific pockets of outperformance. Marketing teams should use this matrix to guide channel selection based on the campaign type being deployed.</w:t>
      </w:r>
    </w:p>
    <w:p>
      <w:r>
        <w:br w:type="page"/>
      </w:r>
    </w:p>
    <w:p>
      <w:pPr>
        <w:pStyle w:val="Heading1"/>
      </w:pPr>
      <w:r>
        <w:rPr>
          <w:color w:val="1A1A2E"/>
        </w:rPr>
        <w:t>6. Social Media Deep-Dive: Instagram vs. Facebook vs. YouTube</w:t>
      </w:r>
    </w:p>
    <w:p>
      <w:pPr>
        <w:spacing w:after="160" w:line="276" w:lineRule="auto"/>
      </w:pPr>
      <w:r>
        <w:t>Social media platforms represent a critical component of the modern marketing mix. This section provides a head-to-head comparison of Instagram, Facebook, and YouTube across four key performance dimensions.</w:t>
      </w:r>
    </w:p>
    <w:p>
      <w:pPr>
        <w:jc w:val="center"/>
      </w:pPr>
      <w:r>
        <w:drawing>
          <wp:inline xmlns:a="http://schemas.openxmlformats.org/drawingml/2006/main" xmlns:pic="http://schemas.openxmlformats.org/drawingml/2006/picture">
            <wp:extent cx="5669280" cy="4473416"/>
            <wp:docPr id="4" name="Picture 4"/>
            <wp:cNvGraphicFramePr>
              <a:graphicFrameLocks noChangeAspect="1"/>
            </wp:cNvGraphicFramePr>
            <a:graphic>
              <a:graphicData uri="http://schemas.openxmlformats.org/drawingml/2006/picture">
                <pic:pic>
                  <pic:nvPicPr>
                    <pic:cNvPr id="0" name="11_social_media_deep_dive.png"/>
                    <pic:cNvPicPr/>
                  </pic:nvPicPr>
                  <pic:blipFill>
                    <a:blip r:embed="rId12"/>
                    <a:stretch>
                      <a:fillRect/>
                    </a:stretch>
                  </pic:blipFill>
                  <pic:spPr>
                    <a:xfrm>
                      <a:off x="0" y="0"/>
                      <a:ext cx="5669280" cy="4473416"/>
                    </a:xfrm>
                    <a:prstGeom prst="rect"/>
                  </pic:spPr>
                </pic:pic>
              </a:graphicData>
            </a:graphic>
          </wp:inline>
        </w:drawing>
      </w:r>
    </w:p>
    <w:p>
      <w:pPr>
        <w:jc w:val="center"/>
      </w:pPr>
      <w:r>
        <w:rPr>
          <w:i/>
          <w:color w:val="666666"/>
          <w:sz w:val="18"/>
        </w:rPr>
        <w:t>Figure 4: Social media platform comparison across ROI, CTR, Engagement, and Total Conversions.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1A1A2E"/>
          </w:tcPr>
          <w:p>
            <w:pPr>
              <w:jc w:val="center"/>
            </w:pPr>
            <w:r>
              <w:rPr>
                <w:b/>
                <w:color w:val="FFFFFF"/>
                <w:sz w:val="18"/>
              </w:rPr>
              <w:t>Platform</w:t>
            </w:r>
          </w:p>
        </w:tc>
        <w:tc>
          <w:tcPr>
            <w:tcW w:type="dxa" w:w="1170"/>
            <w:shd w:val="clear" w:color="auto" w:fill="1A1A2E"/>
          </w:tcPr>
          <w:p>
            <w:pPr>
              <w:jc w:val="center"/>
            </w:pPr>
            <w:r>
              <w:rPr>
                <w:b/>
                <w:color w:val="FFFFFF"/>
                <w:sz w:val="18"/>
              </w:rPr>
              <w:t>Campaigns</w:t>
            </w:r>
          </w:p>
        </w:tc>
        <w:tc>
          <w:tcPr>
            <w:tcW w:type="dxa" w:w="1170"/>
            <w:shd w:val="clear" w:color="auto" w:fill="1A1A2E"/>
          </w:tcPr>
          <w:p>
            <w:pPr>
              <w:jc w:val="center"/>
            </w:pPr>
            <w:r>
              <w:rPr>
                <w:b/>
                <w:color w:val="FFFFFF"/>
                <w:sz w:val="18"/>
              </w:rPr>
              <w:t>Avg ROI</w:t>
            </w:r>
          </w:p>
        </w:tc>
        <w:tc>
          <w:tcPr>
            <w:tcW w:type="dxa" w:w="1170"/>
            <w:shd w:val="clear" w:color="auto" w:fill="1A1A2E"/>
          </w:tcPr>
          <w:p>
            <w:pPr>
              <w:jc w:val="center"/>
            </w:pPr>
            <w:r>
              <w:rPr>
                <w:b/>
                <w:color w:val="FFFFFF"/>
                <w:sz w:val="18"/>
              </w:rPr>
              <w:t>Avg CTR</w:t>
            </w:r>
          </w:p>
        </w:tc>
        <w:tc>
          <w:tcPr>
            <w:tcW w:type="dxa" w:w="1170"/>
            <w:shd w:val="clear" w:color="auto" w:fill="1A1A2E"/>
          </w:tcPr>
          <w:p>
            <w:pPr>
              <w:jc w:val="center"/>
            </w:pPr>
            <w:r>
              <w:rPr>
                <w:b/>
                <w:color w:val="FFFFFF"/>
                <w:sz w:val="18"/>
              </w:rPr>
              <w:t>Avg CR</w:t>
            </w:r>
          </w:p>
        </w:tc>
        <w:tc>
          <w:tcPr>
            <w:tcW w:type="dxa" w:w="1170"/>
            <w:shd w:val="clear" w:color="auto" w:fill="1A1A2E"/>
          </w:tcPr>
          <w:p>
            <w:pPr>
              <w:jc w:val="center"/>
            </w:pPr>
            <w:r>
              <w:rPr>
                <w:b/>
                <w:color w:val="FFFFFF"/>
                <w:sz w:val="18"/>
              </w:rPr>
              <w:t>Avg Engagement</w:t>
            </w:r>
          </w:p>
        </w:tc>
        <w:tc>
          <w:tcPr>
            <w:tcW w:type="dxa" w:w="1170"/>
            <w:shd w:val="clear" w:color="auto" w:fill="1A1A2E"/>
          </w:tcPr>
          <w:p>
            <w:pPr>
              <w:jc w:val="center"/>
            </w:pPr>
            <w:r>
              <w:rPr>
                <w:b/>
                <w:color w:val="FFFFFF"/>
                <w:sz w:val="18"/>
              </w:rPr>
              <w:t>Avg CPA</w:t>
            </w:r>
          </w:p>
        </w:tc>
        <w:tc>
          <w:tcPr>
            <w:tcW w:type="dxa" w:w="1170"/>
            <w:shd w:val="clear" w:color="auto" w:fill="1A1A2E"/>
          </w:tcPr>
          <w:p>
            <w:pPr>
              <w:jc w:val="center"/>
            </w:pPr>
            <w:r>
              <w:rPr>
                <w:b/>
                <w:color w:val="FFFFFF"/>
                <w:sz w:val="18"/>
              </w:rPr>
              <w:t>Total Conversions</w:t>
            </w:r>
          </w:p>
        </w:tc>
      </w:tr>
      <w:tr>
        <w:tc>
          <w:tcPr>
            <w:tcW w:type="dxa" w:w="1170"/>
          </w:tcPr>
          <w:p>
            <w:pPr>
              <w:jc w:val="center"/>
            </w:pPr>
            <w:r>
              <w:rPr>
                <w:sz w:val="18"/>
              </w:rPr>
              <w:t>Facebook</w:t>
            </w:r>
          </w:p>
        </w:tc>
        <w:tc>
          <w:tcPr>
            <w:tcW w:type="dxa" w:w="1170"/>
          </w:tcPr>
          <w:p>
            <w:pPr>
              <w:jc w:val="center"/>
            </w:pPr>
            <w:r>
              <w:rPr>
                <w:sz w:val="18"/>
              </w:rPr>
              <w:t>32,819</w:t>
            </w:r>
          </w:p>
        </w:tc>
        <w:tc>
          <w:tcPr>
            <w:tcW w:type="dxa" w:w="1170"/>
          </w:tcPr>
          <w:p>
            <w:pPr>
              <w:jc w:val="center"/>
            </w:pPr>
            <w:r>
              <w:rPr>
                <w:sz w:val="18"/>
              </w:rPr>
              <w:t>5.02</w:t>
            </w:r>
          </w:p>
        </w:tc>
        <w:tc>
          <w:tcPr>
            <w:tcW w:type="dxa" w:w="1170"/>
          </w:tcPr>
          <w:p>
            <w:pPr>
              <w:jc w:val="center"/>
            </w:pPr>
            <w:r>
              <w:rPr>
                <w:sz w:val="18"/>
              </w:rPr>
              <w:t>14.0%</w:t>
            </w:r>
          </w:p>
        </w:tc>
        <w:tc>
          <w:tcPr>
            <w:tcW w:type="dxa" w:w="1170"/>
          </w:tcPr>
          <w:p>
            <w:pPr>
              <w:jc w:val="center"/>
            </w:pPr>
            <w:r>
              <w:rPr>
                <w:sz w:val="18"/>
              </w:rPr>
              <w:t>8.0%</w:t>
            </w:r>
          </w:p>
        </w:tc>
        <w:tc>
          <w:tcPr>
            <w:tcW w:type="dxa" w:w="1170"/>
          </w:tcPr>
          <w:p>
            <w:pPr>
              <w:jc w:val="center"/>
            </w:pPr>
            <w:r>
              <w:rPr>
                <w:sz w:val="18"/>
              </w:rPr>
              <w:t>5.50</w:t>
            </w:r>
          </w:p>
        </w:tc>
        <w:tc>
          <w:tcPr>
            <w:tcW w:type="dxa" w:w="1170"/>
          </w:tcPr>
          <w:p>
            <w:pPr>
              <w:jc w:val="center"/>
            </w:pPr>
            <w:r>
              <w:rPr>
                <w:sz w:val="18"/>
              </w:rPr>
              <w:t>$634</w:t>
            </w:r>
          </w:p>
        </w:tc>
        <w:tc>
          <w:tcPr>
            <w:tcW w:type="dxa" w:w="1170"/>
          </w:tcPr>
          <w:p>
            <w:pPr>
              <w:jc w:val="center"/>
            </w:pPr>
            <w:r>
              <w:rPr>
                <w:sz w:val="18"/>
              </w:rPr>
              <w:t>1.45M</w:t>
            </w:r>
          </w:p>
        </w:tc>
      </w:tr>
      <w:tr>
        <w:tc>
          <w:tcPr>
            <w:tcW w:type="dxa" w:w="1170"/>
            <w:shd w:val="clear" w:color="auto" w:fill="F5F5F5"/>
          </w:tcPr>
          <w:p>
            <w:pPr>
              <w:jc w:val="center"/>
            </w:pPr>
            <w:r>
              <w:rPr>
                <w:sz w:val="18"/>
              </w:rPr>
              <w:t>YouTube</w:t>
            </w:r>
          </w:p>
        </w:tc>
        <w:tc>
          <w:tcPr>
            <w:tcW w:type="dxa" w:w="1170"/>
            <w:shd w:val="clear" w:color="auto" w:fill="F5F5F5"/>
          </w:tcPr>
          <w:p>
            <w:pPr>
              <w:jc w:val="center"/>
            </w:pPr>
            <w:r>
              <w:rPr>
                <w:sz w:val="18"/>
              </w:rPr>
              <w:t>33,392</w:t>
            </w:r>
          </w:p>
        </w:tc>
        <w:tc>
          <w:tcPr>
            <w:tcW w:type="dxa" w:w="1170"/>
            <w:shd w:val="clear" w:color="auto" w:fill="F5F5F5"/>
          </w:tcPr>
          <w:p>
            <w:pPr>
              <w:jc w:val="center"/>
            </w:pPr>
            <w:r>
              <w:rPr>
                <w:sz w:val="18"/>
              </w:rPr>
              <w:t>4.99</w:t>
            </w:r>
          </w:p>
        </w:tc>
        <w:tc>
          <w:tcPr>
            <w:tcW w:type="dxa" w:w="1170"/>
            <w:shd w:val="clear" w:color="auto" w:fill="F5F5F5"/>
          </w:tcPr>
          <w:p>
            <w:pPr>
              <w:jc w:val="center"/>
            </w:pPr>
            <w:r>
              <w:rPr>
                <w:sz w:val="18"/>
              </w:rPr>
              <w:t>14.1%</w:t>
            </w:r>
          </w:p>
        </w:tc>
        <w:tc>
          <w:tcPr>
            <w:tcW w:type="dxa" w:w="1170"/>
            <w:shd w:val="clear" w:color="auto" w:fill="F5F5F5"/>
          </w:tcPr>
          <w:p>
            <w:pPr>
              <w:jc w:val="center"/>
            </w:pPr>
            <w:r>
              <w:rPr>
                <w:sz w:val="18"/>
              </w:rPr>
              <w:t>8.0%</w:t>
            </w:r>
          </w:p>
        </w:tc>
        <w:tc>
          <w:tcPr>
            <w:tcW w:type="dxa" w:w="1170"/>
            <w:shd w:val="clear" w:color="auto" w:fill="F5F5F5"/>
          </w:tcPr>
          <w:p>
            <w:pPr>
              <w:jc w:val="center"/>
            </w:pPr>
            <w:r>
              <w:rPr>
                <w:sz w:val="18"/>
              </w:rPr>
              <w:t>5.48</w:t>
            </w:r>
          </w:p>
        </w:tc>
        <w:tc>
          <w:tcPr>
            <w:tcW w:type="dxa" w:w="1170"/>
            <w:shd w:val="clear" w:color="auto" w:fill="F5F5F5"/>
          </w:tcPr>
          <w:p>
            <w:pPr>
              <w:jc w:val="center"/>
            </w:pPr>
            <w:r>
              <w:rPr>
                <w:sz w:val="18"/>
              </w:rPr>
              <w:t>$636</w:t>
            </w:r>
          </w:p>
        </w:tc>
        <w:tc>
          <w:tcPr>
            <w:tcW w:type="dxa" w:w="1170"/>
            <w:shd w:val="clear" w:color="auto" w:fill="F5F5F5"/>
          </w:tcPr>
          <w:p>
            <w:pPr>
              <w:jc w:val="center"/>
            </w:pPr>
            <w:r>
              <w:rPr>
                <w:sz w:val="18"/>
              </w:rPr>
              <w:t>1.46M</w:t>
            </w:r>
          </w:p>
        </w:tc>
      </w:tr>
      <w:tr>
        <w:tc>
          <w:tcPr>
            <w:tcW w:type="dxa" w:w="1170"/>
          </w:tcPr>
          <w:p>
            <w:pPr>
              <w:jc w:val="center"/>
            </w:pPr>
            <w:r>
              <w:rPr>
                <w:sz w:val="18"/>
              </w:rPr>
              <w:t>Instagram</w:t>
            </w:r>
          </w:p>
        </w:tc>
        <w:tc>
          <w:tcPr>
            <w:tcW w:type="dxa" w:w="1170"/>
          </w:tcPr>
          <w:p>
            <w:pPr>
              <w:jc w:val="center"/>
            </w:pPr>
            <w:r>
              <w:rPr>
                <w:sz w:val="18"/>
              </w:rPr>
              <w:t>33,392</w:t>
            </w:r>
          </w:p>
        </w:tc>
        <w:tc>
          <w:tcPr>
            <w:tcW w:type="dxa" w:w="1170"/>
          </w:tcPr>
          <w:p>
            <w:pPr>
              <w:jc w:val="center"/>
            </w:pPr>
            <w:r>
              <w:rPr>
                <w:sz w:val="18"/>
              </w:rPr>
              <w:t>4.99</w:t>
            </w:r>
          </w:p>
        </w:tc>
        <w:tc>
          <w:tcPr>
            <w:tcW w:type="dxa" w:w="1170"/>
          </w:tcPr>
          <w:p>
            <w:pPr>
              <w:jc w:val="center"/>
            </w:pPr>
            <w:r>
              <w:rPr>
                <w:sz w:val="18"/>
              </w:rPr>
              <w:t>14.0%</w:t>
            </w:r>
          </w:p>
        </w:tc>
        <w:tc>
          <w:tcPr>
            <w:tcW w:type="dxa" w:w="1170"/>
          </w:tcPr>
          <w:p>
            <w:pPr>
              <w:jc w:val="center"/>
            </w:pPr>
            <w:r>
              <w:rPr>
                <w:sz w:val="18"/>
              </w:rPr>
              <w:t>8.0%</w:t>
            </w:r>
          </w:p>
        </w:tc>
        <w:tc>
          <w:tcPr>
            <w:tcW w:type="dxa" w:w="1170"/>
          </w:tcPr>
          <w:p>
            <w:pPr>
              <w:jc w:val="center"/>
            </w:pPr>
            <w:r>
              <w:rPr>
                <w:sz w:val="18"/>
              </w:rPr>
              <w:t>5.49</w:t>
            </w:r>
          </w:p>
        </w:tc>
        <w:tc>
          <w:tcPr>
            <w:tcW w:type="dxa" w:w="1170"/>
          </w:tcPr>
          <w:p>
            <w:pPr>
              <w:jc w:val="center"/>
            </w:pPr>
            <w:r>
              <w:rPr>
                <w:sz w:val="18"/>
              </w:rPr>
              <w:t>$636</w:t>
            </w:r>
          </w:p>
        </w:tc>
        <w:tc>
          <w:tcPr>
            <w:tcW w:type="dxa" w:w="1170"/>
          </w:tcPr>
          <w:p>
            <w:pPr>
              <w:jc w:val="center"/>
            </w:pPr>
            <w:r>
              <w:rPr>
                <w:sz w:val="18"/>
              </w:rPr>
              <w:t>1.46M</w:t>
            </w:r>
          </w:p>
        </w:tc>
      </w:tr>
    </w:tbl>
    <w:p/>
    <w:p>
      <w:pPr>
        <w:pStyle w:val="Heading2"/>
      </w:pPr>
      <w:r>
        <w:rPr>
          <w:color w:val="1A1A2E"/>
        </w:rPr>
        <w:t>6.1 Platform-Specific Insights</w:t>
      </w:r>
    </w:p>
    <w:p>
      <w:pPr>
        <w:pStyle w:val="Heading3"/>
      </w:pPr>
      <w:r>
        <w:rPr>
          <w:color w:val="1A1A2E"/>
        </w:rPr>
        <w:t>Instagram</w:t>
      </w:r>
    </w:p>
    <w:p>
      <w:pPr>
        <w:spacing w:after="160" w:line="276" w:lineRule="auto"/>
      </w:pPr>
      <w:r>
        <w:t>Instagram processed 33,392 campaigns with an average ROI of 4.99x and an engagement score of 5.49/10. With its visual-first format, Instagram excels at brand storytelling and product discovery, making it particularly effective for Fashionistas and lifestyle-oriented customer segments.</w:t>
      </w:r>
    </w:p>
    <w:p>
      <w:pPr>
        <w:pStyle w:val="Heading3"/>
      </w:pPr>
      <w:r>
        <w:rPr>
          <w:color w:val="1A1A2E"/>
        </w:rPr>
        <w:t>Facebook</w:t>
      </w:r>
    </w:p>
    <w:p>
      <w:pPr>
        <w:spacing w:after="160" w:line="276" w:lineRule="auto"/>
      </w:pPr>
      <w:r>
        <w:t>Facebook delivered 32,819 campaigns with an average ROI of 5.02x. Its strength lies in precise demographic targeting and broad reach across age groups. Facebook's advanced audience tools make it suitable for both awareness and conversion-focused campaigns.</w:t>
      </w:r>
    </w:p>
    <w:p>
      <w:pPr>
        <w:pStyle w:val="Heading3"/>
      </w:pPr>
      <w:r>
        <w:rPr>
          <w:color w:val="1A1A2E"/>
        </w:rPr>
        <w:t>YouTube</w:t>
      </w:r>
    </w:p>
    <w:p>
      <w:pPr>
        <w:spacing w:after="160" w:line="276" w:lineRule="auto"/>
      </w:pPr>
      <w:r>
        <w:t>YouTube ran 33,392 campaigns with an average ROI of 4.99x and generated 1.46M estimated conversions. Video content on YouTube offers longer engagement windows and is particularly effective for product demonstrations, tutorials, and influencer collaborations.</w:t>
      </w:r>
    </w:p>
    <w:p>
      <w:pPr>
        <w:pStyle w:val="Heading2"/>
      </w:pPr>
      <w:r>
        <w:rPr>
          <w:color w:val="1A1A2E"/>
        </w:rPr>
        <w:t>6.2 Social Media Recommendations</w:t>
      </w:r>
    </w:p>
    <w:p>
      <w:pPr>
        <w:pStyle w:val="ListBullet"/>
      </w:pPr>
      <w:r>
        <w:t>Allocate social budgets proportionally based on campaign objectives: use Instagram for brand awareness and visual storytelling, Facebook for precision targeting, and YouTube for long-form educational content.</w:t>
      </w:r>
    </w:p>
    <w:p>
      <w:pPr>
        <w:pStyle w:val="ListBullet"/>
      </w:pPr>
      <w:r>
        <w:t>Test cross-platform sequential campaigns where awareness is built on YouTube/Instagram and conversions are captured through Facebook retargeting.</w:t>
      </w:r>
    </w:p>
    <w:p>
      <w:pPr>
        <w:pStyle w:val="ListBullet"/>
      </w:pPr>
      <w:r>
        <w:t>Monitor platform-specific engagement trends quarterly, as algorithm changes can shift performance significantly.</w:t>
      </w:r>
    </w:p>
    <w:p>
      <w:r>
        <w:br w:type="page"/>
      </w:r>
    </w:p>
    <w:p>
      <w:pPr>
        <w:pStyle w:val="Heading1"/>
      </w:pPr>
      <w:r>
        <w:rPr>
          <w:color w:val="1A1A2E"/>
        </w:rPr>
        <w:t>7. Audience &amp; Customer Segment Analysis</w:t>
      </w:r>
    </w:p>
    <w:p>
      <w:pPr>
        <w:pStyle w:val="Heading2"/>
      </w:pPr>
      <w:r>
        <w:rPr>
          <w:color w:val="1A1A2E"/>
        </w:rPr>
        <w:t>7.1 Target Audience Demographics</w:t>
      </w:r>
    </w:p>
    <w:p>
      <w:pPr>
        <w:spacing w:after="160" w:line="276" w:lineRule="auto"/>
      </w:pPr>
      <w:r>
        <w:t>Campaigns targeted five distinct demographic groups. Understanding differential response rates enables more efficient media buying and creative development.</w:t>
      </w:r>
    </w:p>
    <w:p>
      <w:pPr>
        <w:jc w:val="center"/>
      </w:pPr>
      <w:r>
        <w:drawing>
          <wp:inline xmlns:a="http://schemas.openxmlformats.org/drawingml/2006/main" xmlns:pic="http://schemas.openxmlformats.org/drawingml/2006/picture">
            <wp:extent cx="5669280" cy="2382741"/>
            <wp:docPr id="5" name="Picture 5"/>
            <wp:cNvGraphicFramePr>
              <a:graphicFrameLocks noChangeAspect="1"/>
            </wp:cNvGraphicFramePr>
            <a:graphic>
              <a:graphicData uri="http://schemas.openxmlformats.org/drawingml/2006/picture">
                <pic:pic>
                  <pic:nvPicPr>
                    <pic:cNvPr id="0" name="04_audience_analysis.png"/>
                    <pic:cNvPicPr/>
                  </pic:nvPicPr>
                  <pic:blipFill>
                    <a:blip r:embed="rId13"/>
                    <a:stretch>
                      <a:fillRect/>
                    </a:stretch>
                  </pic:blipFill>
                  <pic:spPr>
                    <a:xfrm>
                      <a:off x="0" y="0"/>
                      <a:ext cx="5669280" cy="2382741"/>
                    </a:xfrm>
                    <a:prstGeom prst="rect"/>
                  </pic:spPr>
                </pic:pic>
              </a:graphicData>
            </a:graphic>
          </wp:inline>
        </w:drawing>
      </w:r>
    </w:p>
    <w:p>
      <w:pPr>
        <w:jc w:val="center"/>
      </w:pPr>
      <w:r>
        <w:rPr>
          <w:i/>
          <w:color w:val="666666"/>
          <w:sz w:val="18"/>
        </w:rPr>
        <w:t>Figure 5: Average ROI and Total Conversions by Target Audience demographic.</w:t>
      </w:r>
    </w:p>
    <w:p>
      <w:pPr>
        <w:pStyle w:val="Heading2"/>
      </w:pPr>
      <w:r>
        <w:rPr>
          <w:color w:val="1A1A2E"/>
        </w:rPr>
        <w:t>7.2 Customer Segment Performance</w:t>
      </w:r>
    </w:p>
    <w:p>
      <w:pPr>
        <w:spacing w:after="160" w:line="276" w:lineRule="auto"/>
      </w:pPr>
      <w:r>
        <w:t>Beyond demographics, campaigns were mapped to five behavioral segments. These psychographic profiles influence content strategy and channel selection.</w:t>
      </w:r>
    </w:p>
    <w:p>
      <w:pPr>
        <w:jc w:val="center"/>
      </w:pPr>
      <w:r>
        <w:drawing>
          <wp:inline xmlns:a="http://schemas.openxmlformats.org/drawingml/2006/main" xmlns:pic="http://schemas.openxmlformats.org/drawingml/2006/picture">
            <wp:extent cx="5669280" cy="2011757"/>
            <wp:docPr id="6" name="Picture 6"/>
            <wp:cNvGraphicFramePr>
              <a:graphicFrameLocks noChangeAspect="1"/>
            </wp:cNvGraphicFramePr>
            <a:graphic>
              <a:graphicData uri="http://schemas.openxmlformats.org/drawingml/2006/picture">
                <pic:pic>
                  <pic:nvPicPr>
                    <pic:cNvPr id="0" name="07_customer_segments.png"/>
                    <pic:cNvPicPr/>
                  </pic:nvPicPr>
                  <pic:blipFill>
                    <a:blip r:embed="rId14"/>
                    <a:stretch>
                      <a:fillRect/>
                    </a:stretch>
                  </pic:blipFill>
                  <pic:spPr>
                    <a:xfrm>
                      <a:off x="0" y="0"/>
                      <a:ext cx="5669280" cy="2011757"/>
                    </a:xfrm>
                    <a:prstGeom prst="rect"/>
                  </pic:spPr>
                </pic:pic>
              </a:graphicData>
            </a:graphic>
          </wp:inline>
        </w:drawing>
      </w:r>
    </w:p>
    <w:p>
      <w:pPr>
        <w:jc w:val="center"/>
      </w:pPr>
      <w:r>
        <w:rPr>
          <w:i/>
          <w:color w:val="666666"/>
          <w:sz w:val="18"/>
        </w:rPr>
        <w:t>Figure 6: Customer segment performance across ROI, Conversion Rate, and Engagement Score.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A1A2E"/>
          </w:tcPr>
          <w:p>
            <w:pPr>
              <w:jc w:val="center"/>
            </w:pPr>
            <w:r>
              <w:rPr>
                <w:b/>
                <w:color w:val="FFFFFF"/>
                <w:sz w:val="18"/>
              </w:rPr>
              <w:t>Customer Segment</w:t>
            </w:r>
          </w:p>
        </w:tc>
        <w:tc>
          <w:tcPr>
            <w:tcW w:type="dxa" w:w="1872"/>
            <w:shd w:val="clear" w:color="auto" w:fill="1A1A2E"/>
          </w:tcPr>
          <w:p>
            <w:pPr>
              <w:jc w:val="center"/>
            </w:pPr>
            <w:r>
              <w:rPr>
                <w:b/>
                <w:color w:val="FFFFFF"/>
                <w:sz w:val="18"/>
              </w:rPr>
              <w:t>Campaigns</w:t>
            </w:r>
          </w:p>
        </w:tc>
        <w:tc>
          <w:tcPr>
            <w:tcW w:type="dxa" w:w="1872"/>
            <w:shd w:val="clear" w:color="auto" w:fill="1A1A2E"/>
          </w:tcPr>
          <w:p>
            <w:pPr>
              <w:jc w:val="center"/>
            </w:pPr>
            <w:r>
              <w:rPr>
                <w:b/>
                <w:color w:val="FFFFFF"/>
                <w:sz w:val="18"/>
              </w:rPr>
              <w:t>Avg ROI</w:t>
            </w:r>
          </w:p>
        </w:tc>
        <w:tc>
          <w:tcPr>
            <w:tcW w:type="dxa" w:w="1872"/>
            <w:shd w:val="clear" w:color="auto" w:fill="1A1A2E"/>
          </w:tcPr>
          <w:p>
            <w:pPr>
              <w:jc w:val="center"/>
            </w:pPr>
            <w:r>
              <w:rPr>
                <w:b/>
                <w:color w:val="FFFFFF"/>
                <w:sz w:val="18"/>
              </w:rPr>
              <w:t>Avg CR</w:t>
            </w:r>
          </w:p>
        </w:tc>
        <w:tc>
          <w:tcPr>
            <w:tcW w:type="dxa" w:w="1872"/>
            <w:shd w:val="clear" w:color="auto" w:fill="1A1A2E"/>
          </w:tcPr>
          <w:p>
            <w:pPr>
              <w:jc w:val="center"/>
            </w:pPr>
            <w:r>
              <w:rPr>
                <w:b/>
                <w:color w:val="FFFFFF"/>
                <w:sz w:val="18"/>
              </w:rPr>
              <w:t>Avg Engagement</w:t>
            </w:r>
          </w:p>
        </w:tc>
      </w:tr>
      <w:tr>
        <w:tc>
          <w:tcPr>
            <w:tcW w:type="dxa" w:w="1872"/>
          </w:tcPr>
          <w:p>
            <w:pPr>
              <w:jc w:val="center"/>
            </w:pPr>
            <w:r>
              <w:rPr>
                <w:sz w:val="18"/>
              </w:rPr>
              <w:t>Foodies</w:t>
            </w:r>
          </w:p>
        </w:tc>
        <w:tc>
          <w:tcPr>
            <w:tcW w:type="dxa" w:w="1872"/>
          </w:tcPr>
          <w:p>
            <w:pPr>
              <w:jc w:val="center"/>
            </w:pPr>
            <w:r>
              <w:rPr>
                <w:sz w:val="18"/>
              </w:rPr>
              <w:t>40,208</w:t>
            </w:r>
          </w:p>
        </w:tc>
        <w:tc>
          <w:tcPr>
            <w:tcW w:type="dxa" w:w="1872"/>
          </w:tcPr>
          <w:p>
            <w:pPr>
              <w:jc w:val="center"/>
            </w:pPr>
            <w:r>
              <w:rPr>
                <w:sz w:val="18"/>
              </w:rPr>
              <w:t>5.00</w:t>
            </w:r>
          </w:p>
        </w:tc>
        <w:tc>
          <w:tcPr>
            <w:tcW w:type="dxa" w:w="1872"/>
          </w:tcPr>
          <w:p>
            <w:pPr>
              <w:jc w:val="center"/>
            </w:pPr>
            <w:r>
              <w:rPr>
                <w:sz w:val="18"/>
              </w:rPr>
              <w:t>8.0%</w:t>
            </w:r>
          </w:p>
        </w:tc>
        <w:tc>
          <w:tcPr>
            <w:tcW w:type="dxa" w:w="1872"/>
          </w:tcPr>
          <w:p>
            <w:pPr>
              <w:jc w:val="center"/>
            </w:pPr>
            <w:r>
              <w:rPr>
                <w:sz w:val="18"/>
              </w:rPr>
              <w:t>5.51</w:t>
            </w:r>
          </w:p>
        </w:tc>
      </w:tr>
      <w:tr>
        <w:tc>
          <w:tcPr>
            <w:tcW w:type="dxa" w:w="1872"/>
            <w:shd w:val="clear" w:color="auto" w:fill="F5F5F5"/>
          </w:tcPr>
          <w:p>
            <w:pPr>
              <w:jc w:val="center"/>
            </w:pPr>
            <w:r>
              <w:rPr>
                <w:sz w:val="18"/>
              </w:rPr>
              <w:t>Tech Enthusiasts</w:t>
            </w:r>
          </w:p>
        </w:tc>
        <w:tc>
          <w:tcPr>
            <w:tcW w:type="dxa" w:w="1872"/>
            <w:shd w:val="clear" w:color="auto" w:fill="F5F5F5"/>
          </w:tcPr>
          <w:p>
            <w:pPr>
              <w:jc w:val="center"/>
            </w:pPr>
            <w:r>
              <w:rPr>
                <w:sz w:val="18"/>
              </w:rPr>
              <w:t>40,151</w:t>
            </w:r>
          </w:p>
        </w:tc>
        <w:tc>
          <w:tcPr>
            <w:tcW w:type="dxa" w:w="1872"/>
            <w:shd w:val="clear" w:color="auto" w:fill="F5F5F5"/>
          </w:tcPr>
          <w:p>
            <w:pPr>
              <w:jc w:val="center"/>
            </w:pPr>
            <w:r>
              <w:rPr>
                <w:sz w:val="18"/>
              </w:rPr>
              <w:t>5.00</w:t>
            </w:r>
          </w:p>
        </w:tc>
        <w:tc>
          <w:tcPr>
            <w:tcW w:type="dxa" w:w="1872"/>
            <w:shd w:val="clear" w:color="auto" w:fill="F5F5F5"/>
          </w:tcPr>
          <w:p>
            <w:pPr>
              <w:jc w:val="center"/>
            </w:pPr>
            <w:r>
              <w:rPr>
                <w:sz w:val="18"/>
              </w:rPr>
              <w:t>8.0%</w:t>
            </w:r>
          </w:p>
        </w:tc>
        <w:tc>
          <w:tcPr>
            <w:tcW w:type="dxa" w:w="1872"/>
            <w:shd w:val="clear" w:color="auto" w:fill="F5F5F5"/>
          </w:tcPr>
          <w:p>
            <w:pPr>
              <w:jc w:val="center"/>
            </w:pPr>
            <w:r>
              <w:rPr>
                <w:sz w:val="18"/>
              </w:rPr>
              <w:t>5.49</w:t>
            </w:r>
          </w:p>
        </w:tc>
      </w:tr>
      <w:tr>
        <w:tc>
          <w:tcPr>
            <w:tcW w:type="dxa" w:w="1872"/>
          </w:tcPr>
          <w:p>
            <w:pPr>
              <w:jc w:val="center"/>
            </w:pPr>
            <w:r>
              <w:rPr>
                <w:sz w:val="18"/>
              </w:rPr>
              <w:t>Health &amp; Wellness</w:t>
            </w:r>
          </w:p>
        </w:tc>
        <w:tc>
          <w:tcPr>
            <w:tcW w:type="dxa" w:w="1872"/>
          </w:tcPr>
          <w:p>
            <w:pPr>
              <w:jc w:val="center"/>
            </w:pPr>
            <w:r>
              <w:rPr>
                <w:sz w:val="18"/>
              </w:rPr>
              <w:t>39,888</w:t>
            </w:r>
          </w:p>
        </w:tc>
        <w:tc>
          <w:tcPr>
            <w:tcW w:type="dxa" w:w="1872"/>
          </w:tcPr>
          <w:p>
            <w:pPr>
              <w:jc w:val="center"/>
            </w:pPr>
            <w:r>
              <w:rPr>
                <w:sz w:val="18"/>
              </w:rPr>
              <w:t>5.00</w:t>
            </w:r>
          </w:p>
        </w:tc>
        <w:tc>
          <w:tcPr>
            <w:tcW w:type="dxa" w:w="1872"/>
          </w:tcPr>
          <w:p>
            <w:pPr>
              <w:jc w:val="center"/>
            </w:pPr>
            <w:r>
              <w:rPr>
                <w:sz w:val="18"/>
              </w:rPr>
              <w:t>8.0%</w:t>
            </w:r>
          </w:p>
        </w:tc>
        <w:tc>
          <w:tcPr>
            <w:tcW w:type="dxa" w:w="1872"/>
          </w:tcPr>
          <w:p>
            <w:pPr>
              <w:jc w:val="center"/>
            </w:pPr>
            <w:r>
              <w:rPr>
                <w:sz w:val="18"/>
              </w:rPr>
              <w:t>5.48</w:t>
            </w:r>
          </w:p>
        </w:tc>
      </w:tr>
      <w:tr>
        <w:tc>
          <w:tcPr>
            <w:tcW w:type="dxa" w:w="1872"/>
            <w:shd w:val="clear" w:color="auto" w:fill="F5F5F5"/>
          </w:tcPr>
          <w:p>
            <w:pPr>
              <w:jc w:val="center"/>
            </w:pPr>
            <w:r>
              <w:rPr>
                <w:sz w:val="18"/>
              </w:rPr>
              <w:t>Fashionistas</w:t>
            </w:r>
          </w:p>
        </w:tc>
        <w:tc>
          <w:tcPr>
            <w:tcW w:type="dxa" w:w="1872"/>
            <w:shd w:val="clear" w:color="auto" w:fill="F5F5F5"/>
          </w:tcPr>
          <w:p>
            <w:pPr>
              <w:jc w:val="center"/>
            </w:pPr>
            <w:r>
              <w:rPr>
                <w:sz w:val="18"/>
              </w:rPr>
              <w:t>39,742</w:t>
            </w:r>
          </w:p>
        </w:tc>
        <w:tc>
          <w:tcPr>
            <w:tcW w:type="dxa" w:w="1872"/>
            <w:shd w:val="clear" w:color="auto" w:fill="F5F5F5"/>
          </w:tcPr>
          <w:p>
            <w:pPr>
              <w:jc w:val="center"/>
            </w:pPr>
            <w:r>
              <w:rPr>
                <w:sz w:val="18"/>
              </w:rPr>
              <w:t>5.00</w:t>
            </w:r>
          </w:p>
        </w:tc>
        <w:tc>
          <w:tcPr>
            <w:tcW w:type="dxa" w:w="1872"/>
            <w:shd w:val="clear" w:color="auto" w:fill="F5F5F5"/>
          </w:tcPr>
          <w:p>
            <w:pPr>
              <w:jc w:val="center"/>
            </w:pPr>
            <w:r>
              <w:rPr>
                <w:sz w:val="18"/>
              </w:rPr>
              <w:t>8.0%</w:t>
            </w:r>
          </w:p>
        </w:tc>
        <w:tc>
          <w:tcPr>
            <w:tcW w:type="dxa" w:w="1872"/>
            <w:shd w:val="clear" w:color="auto" w:fill="F5F5F5"/>
          </w:tcPr>
          <w:p>
            <w:pPr>
              <w:jc w:val="center"/>
            </w:pPr>
            <w:r>
              <w:rPr>
                <w:sz w:val="18"/>
              </w:rPr>
              <w:t>5.49</w:t>
            </w:r>
          </w:p>
        </w:tc>
      </w:tr>
      <w:tr>
        <w:tc>
          <w:tcPr>
            <w:tcW w:type="dxa" w:w="1872"/>
          </w:tcPr>
          <w:p>
            <w:pPr>
              <w:jc w:val="center"/>
            </w:pPr>
            <w:r>
              <w:rPr>
                <w:sz w:val="18"/>
              </w:rPr>
              <w:t>Outdoor Adventurers</w:t>
            </w:r>
          </w:p>
        </w:tc>
        <w:tc>
          <w:tcPr>
            <w:tcW w:type="dxa" w:w="1872"/>
          </w:tcPr>
          <w:p>
            <w:pPr>
              <w:jc w:val="center"/>
            </w:pPr>
            <w:r>
              <w:rPr>
                <w:sz w:val="18"/>
              </w:rPr>
              <w:t>40,011</w:t>
            </w:r>
          </w:p>
        </w:tc>
        <w:tc>
          <w:tcPr>
            <w:tcW w:type="dxa" w:w="1872"/>
          </w:tcPr>
          <w:p>
            <w:pPr>
              <w:jc w:val="center"/>
            </w:pPr>
            <w:r>
              <w:rPr>
                <w:sz w:val="18"/>
              </w:rPr>
              <w:t>5.00</w:t>
            </w:r>
          </w:p>
        </w:tc>
        <w:tc>
          <w:tcPr>
            <w:tcW w:type="dxa" w:w="1872"/>
          </w:tcPr>
          <w:p>
            <w:pPr>
              <w:jc w:val="center"/>
            </w:pPr>
            <w:r>
              <w:rPr>
                <w:sz w:val="18"/>
              </w:rPr>
              <w:t>8.0%</w:t>
            </w:r>
          </w:p>
        </w:tc>
        <w:tc>
          <w:tcPr>
            <w:tcW w:type="dxa" w:w="1872"/>
          </w:tcPr>
          <w:p>
            <w:pPr>
              <w:jc w:val="center"/>
            </w:pPr>
            <w:r>
              <w:rPr>
                <w:sz w:val="18"/>
              </w:rPr>
              <w:t>5.50</w:t>
            </w:r>
          </w:p>
        </w:tc>
      </w:tr>
    </w:tbl>
    <w:p/>
    <w:p>
      <w:pPr>
        <w:spacing w:after="160" w:line="276" w:lineRule="auto"/>
      </w:pPr>
      <w:r>
        <w:t>Customer segments demonstrate broadly similar performance metrics, suggesting that the current creative and targeting strategies effectively resonate across behavioral profiles. However, even marginal differences in conversion rate at this campaign volume translate to thousands of additional conversions, warranting segment-specific creative testing.</w:t>
      </w:r>
    </w:p>
    <w:p>
      <w:r>
        <w:br w:type="page"/>
      </w:r>
    </w:p>
    <w:p>
      <w:pPr>
        <w:pStyle w:val="Heading1"/>
      </w:pPr>
      <w:r>
        <w:rPr>
          <w:color w:val="1A1A2E"/>
        </w:rPr>
        <w:t>8. Geographic &amp; Demographic Insights</w:t>
      </w:r>
    </w:p>
    <w:p>
      <w:pPr>
        <w:spacing w:after="160" w:line="276" w:lineRule="auto"/>
      </w:pPr>
      <w:r>
        <w:t>Campaigns were distributed across five major U.S. metropolitan markets. Geographic performance differences can inform regional budget allocation and localization strategies.</w:t>
      </w:r>
    </w:p>
    <w:p>
      <w:pPr>
        <w:jc w:val="center"/>
      </w:pPr>
      <w:r>
        <w:drawing>
          <wp:inline xmlns:a="http://schemas.openxmlformats.org/drawingml/2006/main" xmlns:pic="http://schemas.openxmlformats.org/drawingml/2006/picture">
            <wp:extent cx="5669280" cy="2347436"/>
            <wp:docPr id="7" name="Picture 7"/>
            <wp:cNvGraphicFramePr>
              <a:graphicFrameLocks noChangeAspect="1"/>
            </wp:cNvGraphicFramePr>
            <a:graphic>
              <a:graphicData uri="http://schemas.openxmlformats.org/drawingml/2006/picture">
                <pic:pic>
                  <pic:nvPicPr>
                    <pic:cNvPr id="0" name="10_location_performance.png"/>
                    <pic:cNvPicPr/>
                  </pic:nvPicPr>
                  <pic:blipFill>
                    <a:blip r:embed="rId15"/>
                    <a:stretch>
                      <a:fillRect/>
                    </a:stretch>
                  </pic:blipFill>
                  <pic:spPr>
                    <a:xfrm>
                      <a:off x="0" y="0"/>
                      <a:ext cx="5669280" cy="2347436"/>
                    </a:xfrm>
                    <a:prstGeom prst="rect"/>
                  </pic:spPr>
                </pic:pic>
              </a:graphicData>
            </a:graphic>
          </wp:inline>
        </w:drawing>
      </w:r>
    </w:p>
    <w:p>
      <w:pPr>
        <w:jc w:val="center"/>
      </w:pPr>
      <w:r>
        <w:rPr>
          <w:i/>
          <w:color w:val="666666"/>
          <w:sz w:val="18"/>
        </w:rPr>
        <w:t>Figure 7: Average ROI and Total Clicks by geographic market.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A1A2E"/>
          </w:tcPr>
          <w:p>
            <w:pPr>
              <w:jc w:val="center"/>
            </w:pPr>
            <w:r>
              <w:rPr>
                <w:b/>
                <w:color w:val="FFFFFF"/>
                <w:sz w:val="18"/>
              </w:rPr>
              <w:t>Location</w:t>
            </w:r>
          </w:p>
        </w:tc>
        <w:tc>
          <w:tcPr>
            <w:tcW w:type="dxa" w:w="1872"/>
            <w:shd w:val="clear" w:color="auto" w:fill="1A1A2E"/>
          </w:tcPr>
          <w:p>
            <w:pPr>
              <w:jc w:val="center"/>
            </w:pPr>
            <w:r>
              <w:rPr>
                <w:b/>
                <w:color w:val="FFFFFF"/>
                <w:sz w:val="18"/>
              </w:rPr>
              <w:t>Avg ROI</w:t>
            </w:r>
          </w:p>
        </w:tc>
        <w:tc>
          <w:tcPr>
            <w:tcW w:type="dxa" w:w="1872"/>
            <w:shd w:val="clear" w:color="auto" w:fill="1A1A2E"/>
          </w:tcPr>
          <w:p>
            <w:pPr>
              <w:jc w:val="center"/>
            </w:pPr>
            <w:r>
              <w:rPr>
                <w:b/>
                <w:color w:val="FFFFFF"/>
                <w:sz w:val="18"/>
              </w:rPr>
              <w:t>Total Clicks</w:t>
            </w:r>
          </w:p>
        </w:tc>
        <w:tc>
          <w:tcPr>
            <w:tcW w:type="dxa" w:w="1872"/>
            <w:shd w:val="clear" w:color="auto" w:fill="1A1A2E"/>
          </w:tcPr>
          <w:p>
            <w:pPr>
              <w:jc w:val="center"/>
            </w:pPr>
            <w:r>
              <w:rPr>
                <w:b/>
                <w:color w:val="FFFFFF"/>
                <w:sz w:val="18"/>
              </w:rPr>
              <w:t>Avg Engagement</w:t>
            </w:r>
          </w:p>
        </w:tc>
        <w:tc>
          <w:tcPr>
            <w:tcW w:type="dxa" w:w="1872"/>
            <w:shd w:val="clear" w:color="auto" w:fill="1A1A2E"/>
          </w:tcPr>
          <w:p>
            <w:pPr>
              <w:jc w:val="center"/>
            </w:pPr>
            <w:r>
              <w:rPr>
                <w:b/>
                <w:color w:val="FFFFFF"/>
                <w:sz w:val="18"/>
              </w:rPr>
              <w:t>Avg CPA</w:t>
            </w:r>
          </w:p>
        </w:tc>
      </w:tr>
      <w:tr>
        <w:tc>
          <w:tcPr>
            <w:tcW w:type="dxa" w:w="1872"/>
          </w:tcPr>
          <w:p>
            <w:pPr>
              <w:jc w:val="center"/>
            </w:pPr>
            <w:r>
              <w:rPr>
                <w:sz w:val="18"/>
              </w:rPr>
              <w:t>Miami</w:t>
            </w:r>
          </w:p>
        </w:tc>
        <w:tc>
          <w:tcPr>
            <w:tcW w:type="dxa" w:w="1872"/>
          </w:tcPr>
          <w:p>
            <w:pPr>
              <w:jc w:val="center"/>
            </w:pPr>
            <w:r>
              <w:rPr>
                <w:sz w:val="18"/>
              </w:rPr>
              <w:t>5.01</w:t>
            </w:r>
          </w:p>
        </w:tc>
        <w:tc>
          <w:tcPr>
            <w:tcW w:type="dxa" w:w="1872"/>
          </w:tcPr>
          <w:p>
            <w:pPr>
              <w:jc w:val="center"/>
            </w:pPr>
            <w:r>
              <w:rPr>
                <w:sz w:val="18"/>
              </w:rPr>
              <w:t>22,056,765</w:t>
            </w:r>
          </w:p>
        </w:tc>
        <w:tc>
          <w:tcPr>
            <w:tcW w:type="dxa" w:w="1872"/>
          </w:tcPr>
          <w:p>
            <w:pPr>
              <w:jc w:val="center"/>
            </w:pPr>
            <w:r>
              <w:rPr>
                <w:sz w:val="18"/>
              </w:rPr>
              <w:t>5.50</w:t>
            </w:r>
          </w:p>
        </w:tc>
        <w:tc>
          <w:tcPr>
            <w:tcW w:type="dxa" w:w="1872"/>
          </w:tcPr>
          <w:p>
            <w:pPr>
              <w:jc w:val="center"/>
            </w:pPr>
            <w:r>
              <w:rPr>
                <w:sz w:val="18"/>
              </w:rPr>
              <w:t>$639</w:t>
            </w:r>
          </w:p>
        </w:tc>
      </w:tr>
      <w:tr>
        <w:tc>
          <w:tcPr>
            <w:tcW w:type="dxa" w:w="1872"/>
            <w:shd w:val="clear" w:color="auto" w:fill="F5F5F5"/>
          </w:tcPr>
          <w:p>
            <w:pPr>
              <w:jc w:val="center"/>
            </w:pPr>
            <w:r>
              <w:rPr>
                <w:sz w:val="18"/>
              </w:rPr>
              <w:t>Los Angeles</w:t>
            </w:r>
          </w:p>
        </w:tc>
        <w:tc>
          <w:tcPr>
            <w:tcW w:type="dxa" w:w="1872"/>
            <w:shd w:val="clear" w:color="auto" w:fill="F5F5F5"/>
          </w:tcPr>
          <w:p>
            <w:pPr>
              <w:jc w:val="center"/>
            </w:pPr>
            <w:r>
              <w:rPr>
                <w:sz w:val="18"/>
              </w:rPr>
              <w:t>5.01</w:t>
            </w:r>
          </w:p>
        </w:tc>
        <w:tc>
          <w:tcPr>
            <w:tcW w:type="dxa" w:w="1872"/>
            <w:shd w:val="clear" w:color="auto" w:fill="F5F5F5"/>
          </w:tcPr>
          <w:p>
            <w:pPr>
              <w:jc w:val="center"/>
            </w:pPr>
            <w:r>
              <w:rPr>
                <w:sz w:val="18"/>
              </w:rPr>
              <w:t>21,966,553</w:t>
            </w:r>
          </w:p>
        </w:tc>
        <w:tc>
          <w:tcPr>
            <w:tcW w:type="dxa" w:w="1872"/>
            <w:shd w:val="clear" w:color="auto" w:fill="F5F5F5"/>
          </w:tcPr>
          <w:p>
            <w:pPr>
              <w:jc w:val="center"/>
            </w:pPr>
            <w:r>
              <w:rPr>
                <w:sz w:val="18"/>
              </w:rPr>
              <w:t>5.49</w:t>
            </w:r>
          </w:p>
        </w:tc>
        <w:tc>
          <w:tcPr>
            <w:tcW w:type="dxa" w:w="1872"/>
            <w:shd w:val="clear" w:color="auto" w:fill="F5F5F5"/>
          </w:tcPr>
          <w:p>
            <w:pPr>
              <w:jc w:val="center"/>
            </w:pPr>
            <w:r>
              <w:rPr>
                <w:sz w:val="18"/>
              </w:rPr>
              <w:t>$634</w:t>
            </w:r>
          </w:p>
        </w:tc>
      </w:tr>
      <w:tr>
        <w:tc>
          <w:tcPr>
            <w:tcW w:type="dxa" w:w="1872"/>
          </w:tcPr>
          <w:p>
            <w:pPr>
              <w:jc w:val="center"/>
            </w:pPr>
            <w:r>
              <w:rPr>
                <w:sz w:val="18"/>
              </w:rPr>
              <w:t>Houston</w:t>
            </w:r>
          </w:p>
        </w:tc>
        <w:tc>
          <w:tcPr>
            <w:tcW w:type="dxa" w:w="1872"/>
          </w:tcPr>
          <w:p>
            <w:pPr>
              <w:jc w:val="center"/>
            </w:pPr>
            <w:r>
              <w:rPr>
                <w:sz w:val="18"/>
              </w:rPr>
              <w:t>5.01</w:t>
            </w:r>
          </w:p>
        </w:tc>
        <w:tc>
          <w:tcPr>
            <w:tcW w:type="dxa" w:w="1872"/>
          </w:tcPr>
          <w:p>
            <w:pPr>
              <w:jc w:val="center"/>
            </w:pPr>
            <w:r>
              <w:rPr>
                <w:sz w:val="18"/>
              </w:rPr>
              <w:t>21,892,547</w:t>
            </w:r>
          </w:p>
        </w:tc>
        <w:tc>
          <w:tcPr>
            <w:tcW w:type="dxa" w:w="1872"/>
          </w:tcPr>
          <w:p>
            <w:pPr>
              <w:jc w:val="center"/>
            </w:pPr>
            <w:r>
              <w:rPr>
                <w:sz w:val="18"/>
              </w:rPr>
              <w:t>5.51</w:t>
            </w:r>
          </w:p>
        </w:tc>
        <w:tc>
          <w:tcPr>
            <w:tcW w:type="dxa" w:w="1872"/>
          </w:tcPr>
          <w:p>
            <w:pPr>
              <w:jc w:val="center"/>
            </w:pPr>
            <w:r>
              <w:rPr>
                <w:sz w:val="18"/>
              </w:rPr>
              <w:t>$630</w:t>
            </w:r>
          </w:p>
        </w:tc>
      </w:tr>
      <w:tr>
        <w:tc>
          <w:tcPr>
            <w:tcW w:type="dxa" w:w="1872"/>
            <w:shd w:val="clear" w:color="auto" w:fill="F5F5F5"/>
          </w:tcPr>
          <w:p>
            <w:pPr>
              <w:jc w:val="center"/>
            </w:pPr>
            <w:r>
              <w:rPr>
                <w:sz w:val="18"/>
              </w:rPr>
              <w:t>Chicago</w:t>
            </w:r>
          </w:p>
        </w:tc>
        <w:tc>
          <w:tcPr>
            <w:tcW w:type="dxa" w:w="1872"/>
            <w:shd w:val="clear" w:color="auto" w:fill="F5F5F5"/>
          </w:tcPr>
          <w:p>
            <w:pPr>
              <w:jc w:val="center"/>
            </w:pPr>
            <w:r>
              <w:rPr>
                <w:sz w:val="18"/>
              </w:rPr>
              <w:t>5.00</w:t>
            </w:r>
          </w:p>
        </w:tc>
        <w:tc>
          <w:tcPr>
            <w:tcW w:type="dxa" w:w="1872"/>
            <w:shd w:val="clear" w:color="auto" w:fill="F5F5F5"/>
          </w:tcPr>
          <w:p>
            <w:pPr>
              <w:jc w:val="center"/>
            </w:pPr>
            <w:r>
              <w:rPr>
                <w:sz w:val="18"/>
              </w:rPr>
              <w:t>21,978,398</w:t>
            </w:r>
          </w:p>
        </w:tc>
        <w:tc>
          <w:tcPr>
            <w:tcW w:type="dxa" w:w="1872"/>
            <w:shd w:val="clear" w:color="auto" w:fill="F5F5F5"/>
          </w:tcPr>
          <w:p>
            <w:pPr>
              <w:jc w:val="center"/>
            </w:pPr>
            <w:r>
              <w:rPr>
                <w:sz w:val="18"/>
              </w:rPr>
              <w:t>5.51</w:t>
            </w:r>
          </w:p>
        </w:tc>
        <w:tc>
          <w:tcPr>
            <w:tcW w:type="dxa" w:w="1872"/>
            <w:shd w:val="clear" w:color="auto" w:fill="F5F5F5"/>
          </w:tcPr>
          <w:p>
            <w:pPr>
              <w:jc w:val="center"/>
            </w:pPr>
            <w:r>
              <w:rPr>
                <w:sz w:val="18"/>
              </w:rPr>
              <w:t>$638</w:t>
            </w:r>
          </w:p>
        </w:tc>
      </w:tr>
      <w:tr>
        <w:tc>
          <w:tcPr>
            <w:tcW w:type="dxa" w:w="1872"/>
          </w:tcPr>
          <w:p>
            <w:pPr>
              <w:jc w:val="center"/>
            </w:pPr>
            <w:r>
              <w:rPr>
                <w:sz w:val="18"/>
              </w:rPr>
              <w:t>New York</w:t>
            </w:r>
          </w:p>
        </w:tc>
        <w:tc>
          <w:tcPr>
            <w:tcW w:type="dxa" w:w="1872"/>
          </w:tcPr>
          <w:p>
            <w:pPr>
              <w:jc w:val="center"/>
            </w:pPr>
            <w:r>
              <w:rPr>
                <w:sz w:val="18"/>
              </w:rPr>
              <w:t>4.98</w:t>
            </w:r>
          </w:p>
        </w:tc>
        <w:tc>
          <w:tcPr>
            <w:tcW w:type="dxa" w:w="1872"/>
          </w:tcPr>
          <w:p>
            <w:pPr>
              <w:jc w:val="center"/>
            </w:pPr>
            <w:r>
              <w:rPr>
                <w:sz w:val="18"/>
              </w:rPr>
              <w:t>22,060,143</w:t>
            </w:r>
          </w:p>
        </w:tc>
        <w:tc>
          <w:tcPr>
            <w:tcW w:type="dxa" w:w="1872"/>
          </w:tcPr>
          <w:p>
            <w:pPr>
              <w:jc w:val="center"/>
            </w:pPr>
            <w:r>
              <w:rPr>
                <w:sz w:val="18"/>
              </w:rPr>
              <w:t>5.47</w:t>
            </w:r>
          </w:p>
        </w:tc>
        <w:tc>
          <w:tcPr>
            <w:tcW w:type="dxa" w:w="1872"/>
          </w:tcPr>
          <w:p>
            <w:pPr>
              <w:jc w:val="center"/>
            </w:pPr>
            <w:r>
              <w:rPr>
                <w:sz w:val="18"/>
              </w:rPr>
              <w:t>$635</w:t>
            </w:r>
          </w:p>
        </w:tc>
      </w:tr>
    </w:tbl>
    <w:p/>
    <w:p>
      <w:pPr>
        <w:spacing w:after="160" w:line="276" w:lineRule="auto"/>
      </w:pPr>
      <w:r>
        <w:t>Geographic performance remains relatively uniform, suggesting national-level campaign strategies are well-calibrated. For markets showing marginally lower ROI, localized creative testing and channel mix adjustments are recommended before reallocating significant budget.</w:t>
      </w:r>
    </w:p>
    <w:p>
      <w:pPr>
        <w:pStyle w:val="Heading2"/>
      </w:pPr>
      <w:r>
        <w:rPr>
          <w:color w:val="1A1A2E"/>
        </w:rPr>
        <w:t>8.1 Language Performance</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1A2E"/>
          </w:tcPr>
          <w:p>
            <w:pPr>
              <w:jc w:val="center"/>
            </w:pPr>
            <w:r>
              <w:rPr>
                <w:b/>
                <w:color w:val="FFFFFF"/>
                <w:sz w:val="18"/>
              </w:rPr>
              <w:t>Language</w:t>
            </w:r>
          </w:p>
        </w:tc>
        <w:tc>
          <w:tcPr>
            <w:tcW w:type="dxa" w:w="2340"/>
            <w:shd w:val="clear" w:color="auto" w:fill="1A1A2E"/>
          </w:tcPr>
          <w:p>
            <w:pPr>
              <w:jc w:val="center"/>
            </w:pPr>
            <w:r>
              <w:rPr>
                <w:b/>
                <w:color w:val="FFFFFF"/>
                <w:sz w:val="18"/>
              </w:rPr>
              <w:t>Campaigns</w:t>
            </w:r>
          </w:p>
        </w:tc>
        <w:tc>
          <w:tcPr>
            <w:tcW w:type="dxa" w:w="2340"/>
            <w:shd w:val="clear" w:color="auto" w:fill="1A1A2E"/>
          </w:tcPr>
          <w:p>
            <w:pPr>
              <w:jc w:val="center"/>
            </w:pPr>
            <w:r>
              <w:rPr>
                <w:b/>
                <w:color w:val="FFFFFF"/>
                <w:sz w:val="18"/>
              </w:rPr>
              <w:t>Avg ROI</w:t>
            </w:r>
          </w:p>
        </w:tc>
        <w:tc>
          <w:tcPr>
            <w:tcW w:type="dxa" w:w="2340"/>
            <w:shd w:val="clear" w:color="auto" w:fill="1A1A2E"/>
          </w:tcPr>
          <w:p>
            <w:pPr>
              <w:jc w:val="center"/>
            </w:pPr>
            <w:r>
              <w:rPr>
                <w:b/>
                <w:color w:val="FFFFFF"/>
                <w:sz w:val="18"/>
              </w:rPr>
              <w:t>Avg CR</w:t>
            </w:r>
          </w:p>
        </w:tc>
      </w:tr>
      <w:tr>
        <w:tc>
          <w:tcPr>
            <w:tcW w:type="dxa" w:w="2340"/>
          </w:tcPr>
          <w:p>
            <w:pPr>
              <w:jc w:val="center"/>
            </w:pPr>
            <w:r>
              <w:rPr>
                <w:sz w:val="18"/>
              </w:rPr>
              <w:t>French</w:t>
            </w:r>
          </w:p>
        </w:tc>
        <w:tc>
          <w:tcPr>
            <w:tcW w:type="dxa" w:w="2340"/>
          </w:tcPr>
          <w:p>
            <w:pPr>
              <w:jc w:val="center"/>
            </w:pPr>
            <w:r>
              <w:rPr>
                <w:sz w:val="18"/>
              </w:rPr>
              <w:t>39,764</w:t>
            </w:r>
          </w:p>
        </w:tc>
        <w:tc>
          <w:tcPr>
            <w:tcW w:type="dxa" w:w="2340"/>
          </w:tcPr>
          <w:p>
            <w:pPr>
              <w:jc w:val="center"/>
            </w:pPr>
            <w:r>
              <w:rPr>
                <w:sz w:val="18"/>
              </w:rPr>
              <w:t>5.01</w:t>
            </w:r>
          </w:p>
        </w:tc>
        <w:tc>
          <w:tcPr>
            <w:tcW w:type="dxa" w:w="2340"/>
          </w:tcPr>
          <w:p>
            <w:pPr>
              <w:jc w:val="center"/>
            </w:pPr>
            <w:r>
              <w:rPr>
                <w:sz w:val="18"/>
              </w:rPr>
              <w:t>8.0%</w:t>
            </w:r>
          </w:p>
        </w:tc>
      </w:tr>
      <w:tr>
        <w:tc>
          <w:tcPr>
            <w:tcW w:type="dxa" w:w="2340"/>
            <w:shd w:val="clear" w:color="auto" w:fill="F5F5F5"/>
          </w:tcPr>
          <w:p>
            <w:pPr>
              <w:jc w:val="center"/>
            </w:pPr>
            <w:r>
              <w:rPr>
                <w:sz w:val="18"/>
              </w:rPr>
              <w:t>Mandarin</w:t>
            </w:r>
          </w:p>
        </w:tc>
        <w:tc>
          <w:tcPr>
            <w:tcW w:type="dxa" w:w="2340"/>
            <w:shd w:val="clear" w:color="auto" w:fill="F5F5F5"/>
          </w:tcPr>
          <w:p>
            <w:pPr>
              <w:jc w:val="center"/>
            </w:pPr>
            <w:r>
              <w:rPr>
                <w:sz w:val="18"/>
              </w:rPr>
              <w:t>40,255</w:t>
            </w:r>
          </w:p>
        </w:tc>
        <w:tc>
          <w:tcPr>
            <w:tcW w:type="dxa" w:w="2340"/>
            <w:shd w:val="clear" w:color="auto" w:fill="F5F5F5"/>
          </w:tcPr>
          <w:p>
            <w:pPr>
              <w:jc w:val="center"/>
            </w:pPr>
            <w:r>
              <w:rPr>
                <w:sz w:val="18"/>
              </w:rPr>
              <w:t>5.01</w:t>
            </w:r>
          </w:p>
        </w:tc>
        <w:tc>
          <w:tcPr>
            <w:tcW w:type="dxa" w:w="2340"/>
            <w:shd w:val="clear" w:color="auto" w:fill="F5F5F5"/>
          </w:tcPr>
          <w:p>
            <w:pPr>
              <w:jc w:val="center"/>
            </w:pPr>
            <w:r>
              <w:rPr>
                <w:sz w:val="18"/>
              </w:rPr>
              <w:t>8.0%</w:t>
            </w:r>
          </w:p>
        </w:tc>
      </w:tr>
      <w:tr>
        <w:tc>
          <w:tcPr>
            <w:tcW w:type="dxa" w:w="2340"/>
          </w:tcPr>
          <w:p>
            <w:pPr>
              <w:jc w:val="center"/>
            </w:pPr>
            <w:r>
              <w:rPr>
                <w:sz w:val="18"/>
              </w:rPr>
              <w:t>Spanish</w:t>
            </w:r>
          </w:p>
        </w:tc>
        <w:tc>
          <w:tcPr>
            <w:tcW w:type="dxa" w:w="2340"/>
          </w:tcPr>
          <w:p>
            <w:pPr>
              <w:jc w:val="center"/>
            </w:pPr>
            <w:r>
              <w:rPr>
                <w:sz w:val="18"/>
              </w:rPr>
              <w:t>40,102</w:t>
            </w:r>
          </w:p>
        </w:tc>
        <w:tc>
          <w:tcPr>
            <w:tcW w:type="dxa" w:w="2340"/>
          </w:tcPr>
          <w:p>
            <w:pPr>
              <w:jc w:val="center"/>
            </w:pPr>
            <w:r>
              <w:rPr>
                <w:sz w:val="18"/>
              </w:rPr>
              <w:t>5.00</w:t>
            </w:r>
          </w:p>
        </w:tc>
        <w:tc>
          <w:tcPr>
            <w:tcW w:type="dxa" w:w="2340"/>
          </w:tcPr>
          <w:p>
            <w:pPr>
              <w:jc w:val="center"/>
            </w:pPr>
            <w:r>
              <w:rPr>
                <w:sz w:val="18"/>
              </w:rPr>
              <w:t>8.0%</w:t>
            </w:r>
          </w:p>
        </w:tc>
      </w:tr>
      <w:tr>
        <w:tc>
          <w:tcPr>
            <w:tcW w:type="dxa" w:w="2340"/>
            <w:shd w:val="clear" w:color="auto" w:fill="F5F5F5"/>
          </w:tcPr>
          <w:p>
            <w:pPr>
              <w:jc w:val="center"/>
            </w:pPr>
            <w:r>
              <w:rPr>
                <w:sz w:val="18"/>
              </w:rPr>
              <w:t>German</w:t>
            </w:r>
          </w:p>
        </w:tc>
        <w:tc>
          <w:tcPr>
            <w:tcW w:type="dxa" w:w="2340"/>
            <w:shd w:val="clear" w:color="auto" w:fill="F5F5F5"/>
          </w:tcPr>
          <w:p>
            <w:pPr>
              <w:jc w:val="center"/>
            </w:pPr>
            <w:r>
              <w:rPr>
                <w:sz w:val="18"/>
              </w:rPr>
              <w:t>39,983</w:t>
            </w:r>
          </w:p>
        </w:tc>
        <w:tc>
          <w:tcPr>
            <w:tcW w:type="dxa" w:w="2340"/>
            <w:shd w:val="clear" w:color="auto" w:fill="F5F5F5"/>
          </w:tcPr>
          <w:p>
            <w:pPr>
              <w:jc w:val="center"/>
            </w:pPr>
            <w:r>
              <w:rPr>
                <w:sz w:val="18"/>
              </w:rPr>
              <w:t>5.00</w:t>
            </w:r>
          </w:p>
        </w:tc>
        <w:tc>
          <w:tcPr>
            <w:tcW w:type="dxa" w:w="2340"/>
            <w:shd w:val="clear" w:color="auto" w:fill="F5F5F5"/>
          </w:tcPr>
          <w:p>
            <w:pPr>
              <w:jc w:val="center"/>
            </w:pPr>
            <w:r>
              <w:rPr>
                <w:sz w:val="18"/>
              </w:rPr>
              <w:t>8.0%</w:t>
            </w:r>
          </w:p>
        </w:tc>
      </w:tr>
      <w:tr>
        <w:tc>
          <w:tcPr>
            <w:tcW w:type="dxa" w:w="2340"/>
          </w:tcPr>
          <w:p>
            <w:pPr>
              <w:jc w:val="center"/>
            </w:pPr>
            <w:r>
              <w:rPr>
                <w:sz w:val="18"/>
              </w:rPr>
              <w:t>English</w:t>
            </w:r>
          </w:p>
        </w:tc>
        <w:tc>
          <w:tcPr>
            <w:tcW w:type="dxa" w:w="2340"/>
          </w:tcPr>
          <w:p>
            <w:pPr>
              <w:jc w:val="center"/>
            </w:pPr>
            <w:r>
              <w:rPr>
                <w:sz w:val="18"/>
              </w:rPr>
              <w:t>39,896</w:t>
            </w:r>
          </w:p>
        </w:tc>
        <w:tc>
          <w:tcPr>
            <w:tcW w:type="dxa" w:w="2340"/>
          </w:tcPr>
          <w:p>
            <w:pPr>
              <w:jc w:val="center"/>
            </w:pPr>
            <w:r>
              <w:rPr>
                <w:sz w:val="18"/>
              </w:rPr>
              <w:t>4.99</w:t>
            </w:r>
          </w:p>
        </w:tc>
        <w:tc>
          <w:tcPr>
            <w:tcW w:type="dxa" w:w="2340"/>
          </w:tcPr>
          <w:p>
            <w:pPr>
              <w:jc w:val="center"/>
            </w:pPr>
            <w:r>
              <w:rPr>
                <w:sz w:val="18"/>
              </w:rPr>
              <w:t>8.0%</w:t>
            </w:r>
          </w:p>
        </w:tc>
      </w:tr>
    </w:tbl>
    <w:p/>
    <w:p>
      <w:r>
        <w:br w:type="page"/>
      </w:r>
    </w:p>
    <w:p>
      <w:pPr>
        <w:pStyle w:val="Heading1"/>
      </w:pPr>
      <w:r>
        <w:rPr>
          <w:color w:val="1A1A2E"/>
        </w:rPr>
        <w:t>9. Cost Efficiency &amp; Budget Optimization</w:t>
      </w:r>
    </w:p>
    <w:p>
      <w:pPr>
        <w:spacing w:after="160" w:line="276" w:lineRule="auto"/>
      </w:pPr>
      <w:r>
        <w:t>Across all campaigns, total acquisition spending reached $2.50B, generating an estimated 8.8M conversions. Understanding the relationship between spend and returns is critical for budget optimization.</w:t>
      </w:r>
    </w:p>
    <w:p>
      <w:pPr>
        <w:jc w:val="center"/>
      </w:pPr>
      <w:r>
        <w:drawing>
          <wp:inline xmlns:a="http://schemas.openxmlformats.org/drawingml/2006/main" xmlns:pic="http://schemas.openxmlformats.org/drawingml/2006/picture">
            <wp:extent cx="5669280" cy="3933786"/>
            <wp:docPr id="8" name="Picture 8"/>
            <wp:cNvGraphicFramePr>
              <a:graphicFrameLocks noChangeAspect="1"/>
            </wp:cNvGraphicFramePr>
            <a:graphic>
              <a:graphicData uri="http://schemas.openxmlformats.org/drawingml/2006/picture">
                <pic:pic>
                  <pic:nvPicPr>
                    <pic:cNvPr id="0" name="05_cost_efficiency.png"/>
                    <pic:cNvPicPr/>
                  </pic:nvPicPr>
                  <pic:blipFill>
                    <a:blip r:embed="rId16"/>
                    <a:stretch>
                      <a:fillRect/>
                    </a:stretch>
                  </pic:blipFill>
                  <pic:spPr>
                    <a:xfrm>
                      <a:off x="0" y="0"/>
                      <a:ext cx="5669280" cy="3933786"/>
                    </a:xfrm>
                    <a:prstGeom prst="rect"/>
                  </pic:spPr>
                </pic:pic>
              </a:graphicData>
            </a:graphic>
          </wp:inline>
        </w:drawing>
      </w:r>
    </w:p>
    <w:p>
      <w:pPr>
        <w:jc w:val="center"/>
      </w:pPr>
      <w:r>
        <w:rPr>
          <w:i/>
          <w:color w:val="666666"/>
          <w:sz w:val="18"/>
        </w:rPr>
        <w:t>Figure 8: Acquisition Cost vs. ROI scatter plot, color-coded by channel. Each point represents a campaign.</w:t>
      </w:r>
    </w:p>
    <w:p>
      <w:pPr>
        <w:spacing w:after="160" w:line="276" w:lineRule="auto"/>
      </w:pPr>
      <w:r>
        <w:t>The scatter plot reveals that ROI is largely independent of acquisition cost magnitude within the observed range. This finding suggests that higher spend does not inherently drive higher returns—rather, creative quality, targeting precision, and channel-campaign fit are the primary determinants of ROI performance.</w:t>
      </w:r>
    </w:p>
    <w:p>
      <w:pPr>
        <w:pStyle w:val="Heading2"/>
      </w:pPr>
      <w:r>
        <w:rPr>
          <w:color w:val="1A1A2E"/>
        </w:rPr>
        <w:t>9.1 Cost Efficiency by Channel</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A1A2E"/>
          </w:tcPr>
          <w:p>
            <w:pPr>
              <w:jc w:val="center"/>
            </w:pPr>
            <w:r>
              <w:rPr>
                <w:b/>
                <w:color w:val="FFFFFF"/>
                <w:sz w:val="18"/>
              </w:rPr>
              <w:t>Channel</w:t>
            </w:r>
          </w:p>
        </w:tc>
        <w:tc>
          <w:tcPr>
            <w:tcW w:type="dxa" w:w="1872"/>
            <w:shd w:val="clear" w:color="auto" w:fill="1A1A2E"/>
          </w:tcPr>
          <w:p>
            <w:pPr>
              <w:jc w:val="center"/>
            </w:pPr>
            <w:r>
              <w:rPr>
                <w:b/>
                <w:color w:val="FFFFFF"/>
                <w:sz w:val="18"/>
              </w:rPr>
              <w:t>Avg Acq. Cost</w:t>
            </w:r>
          </w:p>
        </w:tc>
        <w:tc>
          <w:tcPr>
            <w:tcW w:type="dxa" w:w="1872"/>
            <w:shd w:val="clear" w:color="auto" w:fill="1A1A2E"/>
          </w:tcPr>
          <w:p>
            <w:pPr>
              <w:jc w:val="center"/>
            </w:pPr>
            <w:r>
              <w:rPr>
                <w:b/>
                <w:color w:val="FFFFFF"/>
                <w:sz w:val="18"/>
              </w:rPr>
              <w:t>Avg CPA</w:t>
            </w:r>
          </w:p>
        </w:tc>
        <w:tc>
          <w:tcPr>
            <w:tcW w:type="dxa" w:w="1872"/>
            <w:shd w:val="clear" w:color="auto" w:fill="1A1A2E"/>
          </w:tcPr>
          <w:p>
            <w:pPr>
              <w:jc w:val="center"/>
            </w:pPr>
            <w:r>
              <w:rPr>
                <w:b/>
                <w:color w:val="FFFFFF"/>
                <w:sz w:val="18"/>
              </w:rPr>
              <w:t>Avg ROI</w:t>
            </w:r>
          </w:p>
        </w:tc>
        <w:tc>
          <w:tcPr>
            <w:tcW w:type="dxa" w:w="1872"/>
            <w:shd w:val="clear" w:color="auto" w:fill="1A1A2E"/>
          </w:tcPr>
          <w:p>
            <w:pPr>
              <w:jc w:val="center"/>
            </w:pPr>
            <w:r>
              <w:rPr>
                <w:b/>
                <w:color w:val="FFFFFF"/>
                <w:sz w:val="18"/>
              </w:rPr>
              <w:t>Total Spend</w:t>
            </w:r>
          </w:p>
        </w:tc>
      </w:tr>
      <w:tr>
        <w:tc>
          <w:tcPr>
            <w:tcW w:type="dxa" w:w="1872"/>
          </w:tcPr>
          <w:p>
            <w:pPr>
              <w:jc w:val="center"/>
            </w:pPr>
            <w:r>
              <w:rPr>
                <w:sz w:val="18"/>
              </w:rPr>
              <w:t>Website</w:t>
            </w:r>
          </w:p>
        </w:tc>
        <w:tc>
          <w:tcPr>
            <w:tcW w:type="dxa" w:w="1872"/>
          </w:tcPr>
          <w:p>
            <w:pPr>
              <w:jc w:val="center"/>
            </w:pPr>
            <w:r>
              <w:rPr>
                <w:sz w:val="18"/>
              </w:rPr>
              <w:t>$12,488</w:t>
            </w:r>
          </w:p>
        </w:tc>
        <w:tc>
          <w:tcPr>
            <w:tcW w:type="dxa" w:w="1872"/>
          </w:tcPr>
          <w:p>
            <w:pPr>
              <w:jc w:val="center"/>
            </w:pPr>
            <w:r>
              <w:rPr>
                <w:sz w:val="18"/>
              </w:rPr>
              <w:t>$632</w:t>
            </w:r>
          </w:p>
        </w:tc>
        <w:tc>
          <w:tcPr>
            <w:tcW w:type="dxa" w:w="1872"/>
          </w:tcPr>
          <w:p>
            <w:pPr>
              <w:jc w:val="center"/>
            </w:pPr>
            <w:r>
              <w:rPr>
                <w:sz w:val="18"/>
              </w:rPr>
              <w:t>5.01</w:t>
            </w:r>
          </w:p>
        </w:tc>
        <w:tc>
          <w:tcPr>
            <w:tcW w:type="dxa" w:w="1872"/>
          </w:tcPr>
          <w:p>
            <w:pPr>
              <w:jc w:val="center"/>
            </w:pPr>
            <w:r>
              <w:rPr>
                <w:sz w:val="18"/>
              </w:rPr>
              <w:t>$0.42B</w:t>
            </w:r>
          </w:p>
        </w:tc>
      </w:tr>
      <w:tr>
        <w:tc>
          <w:tcPr>
            <w:tcW w:type="dxa" w:w="1872"/>
            <w:shd w:val="clear" w:color="auto" w:fill="F5F5F5"/>
          </w:tcPr>
          <w:p>
            <w:pPr>
              <w:jc w:val="center"/>
            </w:pPr>
            <w:r>
              <w:rPr>
                <w:sz w:val="18"/>
              </w:rPr>
              <w:t>Email</w:t>
            </w:r>
          </w:p>
        </w:tc>
        <w:tc>
          <w:tcPr>
            <w:tcW w:type="dxa" w:w="1872"/>
            <w:shd w:val="clear" w:color="auto" w:fill="F5F5F5"/>
          </w:tcPr>
          <w:p>
            <w:pPr>
              <w:jc w:val="center"/>
            </w:pPr>
            <w:r>
              <w:rPr>
                <w:sz w:val="18"/>
              </w:rPr>
              <w:t>$12,526</w:t>
            </w:r>
          </w:p>
        </w:tc>
        <w:tc>
          <w:tcPr>
            <w:tcW w:type="dxa" w:w="1872"/>
            <w:shd w:val="clear" w:color="auto" w:fill="F5F5F5"/>
          </w:tcPr>
          <w:p>
            <w:pPr>
              <w:jc w:val="center"/>
            </w:pPr>
            <w:r>
              <w:rPr>
                <w:sz w:val="18"/>
              </w:rPr>
              <w:t>$632</w:t>
            </w:r>
          </w:p>
        </w:tc>
        <w:tc>
          <w:tcPr>
            <w:tcW w:type="dxa" w:w="1872"/>
            <w:shd w:val="clear" w:color="auto" w:fill="F5F5F5"/>
          </w:tcPr>
          <w:p>
            <w:pPr>
              <w:jc w:val="center"/>
            </w:pPr>
            <w:r>
              <w:rPr>
                <w:sz w:val="18"/>
              </w:rPr>
              <w:t>5.00</w:t>
            </w:r>
          </w:p>
        </w:tc>
        <w:tc>
          <w:tcPr>
            <w:tcW w:type="dxa" w:w="1872"/>
            <w:shd w:val="clear" w:color="auto" w:fill="F5F5F5"/>
          </w:tcPr>
          <w:p>
            <w:pPr>
              <w:jc w:val="center"/>
            </w:pPr>
            <w:r>
              <w:rPr>
                <w:sz w:val="18"/>
              </w:rPr>
              <w:t>$0.42B</w:t>
            </w:r>
          </w:p>
        </w:tc>
      </w:tr>
      <w:tr>
        <w:tc>
          <w:tcPr>
            <w:tcW w:type="dxa" w:w="1872"/>
          </w:tcPr>
          <w:p>
            <w:pPr>
              <w:jc w:val="center"/>
            </w:pPr>
            <w:r>
              <w:rPr>
                <w:sz w:val="18"/>
              </w:rPr>
              <w:t>Facebook</w:t>
            </w:r>
          </w:p>
        </w:tc>
        <w:tc>
          <w:tcPr>
            <w:tcW w:type="dxa" w:w="1872"/>
          </w:tcPr>
          <w:p>
            <w:pPr>
              <w:jc w:val="center"/>
            </w:pPr>
            <w:r>
              <w:rPr>
                <w:sz w:val="18"/>
              </w:rPr>
              <w:t>$12,511</w:t>
            </w:r>
          </w:p>
        </w:tc>
        <w:tc>
          <w:tcPr>
            <w:tcW w:type="dxa" w:w="1872"/>
          </w:tcPr>
          <w:p>
            <w:pPr>
              <w:jc w:val="center"/>
            </w:pPr>
            <w:r>
              <w:rPr>
                <w:sz w:val="18"/>
              </w:rPr>
              <w:t>$634</w:t>
            </w:r>
          </w:p>
        </w:tc>
        <w:tc>
          <w:tcPr>
            <w:tcW w:type="dxa" w:w="1872"/>
          </w:tcPr>
          <w:p>
            <w:pPr>
              <w:jc w:val="center"/>
            </w:pPr>
            <w:r>
              <w:rPr>
                <w:sz w:val="18"/>
              </w:rPr>
              <w:t>5.02</w:t>
            </w:r>
          </w:p>
        </w:tc>
        <w:tc>
          <w:tcPr>
            <w:tcW w:type="dxa" w:w="1872"/>
          </w:tcPr>
          <w:p>
            <w:pPr>
              <w:jc w:val="center"/>
            </w:pPr>
            <w:r>
              <w:rPr>
                <w:sz w:val="18"/>
              </w:rPr>
              <w:t>$0.41B</w:t>
            </w:r>
          </w:p>
        </w:tc>
      </w:tr>
      <w:tr>
        <w:tc>
          <w:tcPr>
            <w:tcW w:type="dxa" w:w="1872"/>
            <w:shd w:val="clear" w:color="auto" w:fill="F5F5F5"/>
          </w:tcPr>
          <w:p>
            <w:pPr>
              <w:jc w:val="center"/>
            </w:pPr>
            <w:r>
              <w:rPr>
                <w:sz w:val="18"/>
              </w:rPr>
              <w:t>Instagram</w:t>
            </w:r>
          </w:p>
        </w:tc>
        <w:tc>
          <w:tcPr>
            <w:tcW w:type="dxa" w:w="1872"/>
            <w:shd w:val="clear" w:color="auto" w:fill="F5F5F5"/>
          </w:tcPr>
          <w:p>
            <w:pPr>
              <w:jc w:val="center"/>
            </w:pPr>
            <w:r>
              <w:rPr>
                <w:sz w:val="18"/>
              </w:rPr>
              <w:t>$12,492</w:t>
            </w:r>
          </w:p>
        </w:tc>
        <w:tc>
          <w:tcPr>
            <w:tcW w:type="dxa" w:w="1872"/>
            <w:shd w:val="clear" w:color="auto" w:fill="F5F5F5"/>
          </w:tcPr>
          <w:p>
            <w:pPr>
              <w:jc w:val="center"/>
            </w:pPr>
            <w:r>
              <w:rPr>
                <w:sz w:val="18"/>
              </w:rPr>
              <w:t>$636</w:t>
            </w:r>
          </w:p>
        </w:tc>
        <w:tc>
          <w:tcPr>
            <w:tcW w:type="dxa" w:w="1872"/>
            <w:shd w:val="clear" w:color="auto" w:fill="F5F5F5"/>
          </w:tcPr>
          <w:p>
            <w:pPr>
              <w:jc w:val="center"/>
            </w:pPr>
            <w:r>
              <w:rPr>
                <w:sz w:val="18"/>
              </w:rPr>
              <w:t>4.99</w:t>
            </w:r>
          </w:p>
        </w:tc>
        <w:tc>
          <w:tcPr>
            <w:tcW w:type="dxa" w:w="1872"/>
            <w:shd w:val="clear" w:color="auto" w:fill="F5F5F5"/>
          </w:tcPr>
          <w:p>
            <w:pPr>
              <w:jc w:val="center"/>
            </w:pPr>
            <w:r>
              <w:rPr>
                <w:sz w:val="18"/>
              </w:rPr>
              <w:t>$0.42B</w:t>
            </w:r>
          </w:p>
        </w:tc>
      </w:tr>
      <w:tr>
        <w:tc>
          <w:tcPr>
            <w:tcW w:type="dxa" w:w="1872"/>
          </w:tcPr>
          <w:p>
            <w:pPr>
              <w:jc w:val="center"/>
            </w:pPr>
            <w:r>
              <w:rPr>
                <w:sz w:val="18"/>
              </w:rPr>
              <w:t>YouTube</w:t>
            </w:r>
          </w:p>
        </w:tc>
        <w:tc>
          <w:tcPr>
            <w:tcW w:type="dxa" w:w="1872"/>
          </w:tcPr>
          <w:p>
            <w:pPr>
              <w:jc w:val="center"/>
            </w:pPr>
            <w:r>
              <w:rPr>
                <w:sz w:val="18"/>
              </w:rPr>
              <w:t>$12,481</w:t>
            </w:r>
          </w:p>
        </w:tc>
        <w:tc>
          <w:tcPr>
            <w:tcW w:type="dxa" w:w="1872"/>
          </w:tcPr>
          <w:p>
            <w:pPr>
              <w:jc w:val="center"/>
            </w:pPr>
            <w:r>
              <w:rPr>
                <w:sz w:val="18"/>
              </w:rPr>
              <w:t>$636</w:t>
            </w:r>
          </w:p>
        </w:tc>
        <w:tc>
          <w:tcPr>
            <w:tcW w:type="dxa" w:w="1872"/>
          </w:tcPr>
          <w:p>
            <w:pPr>
              <w:jc w:val="center"/>
            </w:pPr>
            <w:r>
              <w:rPr>
                <w:sz w:val="18"/>
              </w:rPr>
              <w:t>4.99</w:t>
            </w:r>
          </w:p>
        </w:tc>
        <w:tc>
          <w:tcPr>
            <w:tcW w:type="dxa" w:w="1872"/>
          </w:tcPr>
          <w:p>
            <w:pPr>
              <w:jc w:val="center"/>
            </w:pPr>
            <w:r>
              <w:rPr>
                <w:sz w:val="18"/>
              </w:rPr>
              <w:t>$0.42B</w:t>
            </w:r>
          </w:p>
        </w:tc>
      </w:tr>
      <w:tr>
        <w:tc>
          <w:tcPr>
            <w:tcW w:type="dxa" w:w="1872"/>
            <w:shd w:val="clear" w:color="auto" w:fill="F5F5F5"/>
          </w:tcPr>
          <w:p>
            <w:pPr>
              <w:jc w:val="center"/>
            </w:pPr>
            <w:r>
              <w:rPr>
                <w:sz w:val="18"/>
              </w:rPr>
              <w:t>Google Ads</w:t>
            </w:r>
          </w:p>
        </w:tc>
        <w:tc>
          <w:tcPr>
            <w:tcW w:type="dxa" w:w="1872"/>
            <w:shd w:val="clear" w:color="auto" w:fill="F5F5F5"/>
          </w:tcPr>
          <w:p>
            <w:pPr>
              <w:jc w:val="center"/>
            </w:pPr>
            <w:r>
              <w:rPr>
                <w:sz w:val="18"/>
              </w:rPr>
              <w:t>$12,528</w:t>
            </w:r>
          </w:p>
        </w:tc>
        <w:tc>
          <w:tcPr>
            <w:tcW w:type="dxa" w:w="1872"/>
            <w:shd w:val="clear" w:color="auto" w:fill="F5F5F5"/>
          </w:tcPr>
          <w:p>
            <w:pPr>
              <w:jc w:val="center"/>
            </w:pPr>
            <w:r>
              <w:rPr>
                <w:sz w:val="18"/>
              </w:rPr>
              <w:t>$642</w:t>
            </w:r>
          </w:p>
        </w:tc>
        <w:tc>
          <w:tcPr>
            <w:tcW w:type="dxa" w:w="1872"/>
            <w:shd w:val="clear" w:color="auto" w:fill="F5F5F5"/>
          </w:tcPr>
          <w:p>
            <w:pPr>
              <w:jc w:val="center"/>
            </w:pPr>
            <w:r>
              <w:rPr>
                <w:sz w:val="18"/>
              </w:rPr>
              <w:t>5.00</w:t>
            </w:r>
          </w:p>
        </w:tc>
        <w:tc>
          <w:tcPr>
            <w:tcW w:type="dxa" w:w="1872"/>
            <w:shd w:val="clear" w:color="auto" w:fill="F5F5F5"/>
          </w:tcPr>
          <w:p>
            <w:pPr>
              <w:jc w:val="center"/>
            </w:pPr>
            <w:r>
              <w:rPr>
                <w:sz w:val="18"/>
              </w:rPr>
              <w:t>$0.42B</w:t>
            </w:r>
          </w:p>
        </w:tc>
      </w:tr>
    </w:tbl>
    <w:p/>
    <w:p>
      <w:r>
        <w:br w:type="page"/>
      </w:r>
    </w:p>
    <w:p>
      <w:pPr>
        <w:pStyle w:val="Heading1"/>
      </w:pPr>
      <w:r>
        <w:rPr>
          <w:color w:val="1A1A2E"/>
        </w:rPr>
        <w:t>10. Temporal Trends &amp; Seasonality</w:t>
      </w:r>
    </w:p>
    <w:p>
      <w:pPr>
        <w:spacing w:after="160" w:line="276" w:lineRule="auto"/>
      </w:pPr>
      <w:r>
        <w:t>Analyzing campaign performance over time reveals seasonal patterns and trends that should inform campaign scheduling and budget pacing throughout the fiscal year.</w:t>
      </w:r>
    </w:p>
    <w:p>
      <w:pPr>
        <w:jc w:val="center"/>
      </w:pPr>
      <w:r>
        <w:drawing>
          <wp:inline xmlns:a="http://schemas.openxmlformats.org/drawingml/2006/main" xmlns:pic="http://schemas.openxmlformats.org/drawingml/2006/picture">
            <wp:extent cx="5669280" cy="3732960"/>
            <wp:docPr id="9" name="Picture 9"/>
            <wp:cNvGraphicFramePr>
              <a:graphicFrameLocks noChangeAspect="1"/>
            </wp:cNvGraphicFramePr>
            <a:graphic>
              <a:graphicData uri="http://schemas.openxmlformats.org/drawingml/2006/picture">
                <pic:pic>
                  <pic:nvPicPr>
                    <pic:cNvPr id="0" name="06_monthly_trends.png"/>
                    <pic:cNvPicPr/>
                  </pic:nvPicPr>
                  <pic:blipFill>
                    <a:blip r:embed="rId17"/>
                    <a:stretch>
                      <a:fillRect/>
                    </a:stretch>
                  </pic:blipFill>
                  <pic:spPr>
                    <a:xfrm>
                      <a:off x="0" y="0"/>
                      <a:ext cx="5669280" cy="3732960"/>
                    </a:xfrm>
                    <a:prstGeom prst="rect"/>
                  </pic:spPr>
                </pic:pic>
              </a:graphicData>
            </a:graphic>
          </wp:inline>
        </w:drawing>
      </w:r>
    </w:p>
    <w:p>
      <w:pPr>
        <w:jc w:val="center"/>
      </w:pPr>
      <w:r>
        <w:rPr>
          <w:i/>
          <w:color w:val="666666"/>
          <w:sz w:val="18"/>
        </w:rPr>
        <w:t>Figure 9: Monthly trends for ROI, Conversion Rate, Total Clicks, and Engagement Score across 2021.</w:t>
      </w:r>
    </w:p>
    <w:p>
      <w:pPr>
        <w:spacing w:after="160" w:line="276" w:lineRule="auto"/>
      </w:pPr>
      <w:r>
        <w:t>Monthly performance metrics remain remarkably stable throughout 2021, with no pronounced seasonal spikes or troughs. This stability indicates consistent campaign execution and suggests that the marketing teams maintained disciplined practices year-round. For 2022 planning, budget should be distributed evenly unless external factors (product launches, seasonal demand) warrant concentration.</w:t>
      </w:r>
    </w:p>
    <w:p>
      <w:r>
        <w:br w:type="page"/>
      </w:r>
    </w:p>
    <w:p>
      <w:pPr>
        <w:pStyle w:val="Heading1"/>
      </w:pPr>
      <w:r>
        <w:rPr>
          <w:color w:val="1A1A2E"/>
        </w:rPr>
        <w:t>11. Company Benchmarking</w:t>
      </w:r>
    </w:p>
    <w:p>
      <w:pPr>
        <w:spacing w:after="160" w:line="276" w:lineRule="auto"/>
      </w:pPr>
      <w:r>
        <w:t>Five companies participated in the marketing portfolio. Benchmarking their performance identifies best practices and areas for cross-organizational learning.</w:t>
      </w:r>
    </w:p>
    <w:p>
      <w:pPr>
        <w:jc w:val="center"/>
      </w:pPr>
      <w:r>
        <w:drawing>
          <wp:inline xmlns:a="http://schemas.openxmlformats.org/drawingml/2006/main" xmlns:pic="http://schemas.openxmlformats.org/drawingml/2006/picture">
            <wp:extent cx="5669280" cy="2391985"/>
            <wp:docPr id="10" name="Picture 10"/>
            <wp:cNvGraphicFramePr>
              <a:graphicFrameLocks noChangeAspect="1"/>
            </wp:cNvGraphicFramePr>
            <a:graphic>
              <a:graphicData uri="http://schemas.openxmlformats.org/drawingml/2006/picture">
                <pic:pic>
                  <pic:nvPicPr>
                    <pic:cNvPr id="0" name="08_company_comparison.png"/>
                    <pic:cNvPicPr/>
                  </pic:nvPicPr>
                  <pic:blipFill>
                    <a:blip r:embed="rId18"/>
                    <a:stretch>
                      <a:fillRect/>
                    </a:stretch>
                  </pic:blipFill>
                  <pic:spPr>
                    <a:xfrm>
                      <a:off x="0" y="0"/>
                      <a:ext cx="5669280" cy="2391985"/>
                    </a:xfrm>
                    <a:prstGeom prst="rect"/>
                  </pic:spPr>
                </pic:pic>
              </a:graphicData>
            </a:graphic>
          </wp:inline>
        </w:drawing>
      </w:r>
    </w:p>
    <w:p>
      <w:pPr>
        <w:jc w:val="center"/>
      </w:pPr>
      <w:r>
        <w:rPr>
          <w:i/>
          <w:color w:val="666666"/>
          <w:sz w:val="18"/>
        </w:rPr>
        <w:t>Figure 10: Company-level comparison of ROI, Conversion Rate, and Total Spend.</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A1A2E"/>
          </w:tcPr>
          <w:p>
            <w:pPr>
              <w:jc w:val="center"/>
            </w:pPr>
            <w:r>
              <w:rPr>
                <w:b/>
                <w:color w:val="FFFFFF"/>
                <w:sz w:val="18"/>
              </w:rPr>
              <w:t>Company</w:t>
            </w:r>
          </w:p>
        </w:tc>
        <w:tc>
          <w:tcPr>
            <w:tcW w:type="dxa" w:w="1560"/>
            <w:shd w:val="clear" w:color="auto" w:fill="1A1A2E"/>
          </w:tcPr>
          <w:p>
            <w:pPr>
              <w:jc w:val="center"/>
            </w:pPr>
            <w:r>
              <w:rPr>
                <w:b/>
                <w:color w:val="FFFFFF"/>
                <w:sz w:val="18"/>
              </w:rPr>
              <w:t>Avg ROI</w:t>
            </w:r>
          </w:p>
        </w:tc>
        <w:tc>
          <w:tcPr>
            <w:tcW w:type="dxa" w:w="1560"/>
            <w:shd w:val="clear" w:color="auto" w:fill="1A1A2E"/>
          </w:tcPr>
          <w:p>
            <w:pPr>
              <w:jc w:val="center"/>
            </w:pPr>
            <w:r>
              <w:rPr>
                <w:b/>
                <w:color w:val="FFFFFF"/>
                <w:sz w:val="18"/>
              </w:rPr>
              <w:t>Avg CR</w:t>
            </w:r>
          </w:p>
        </w:tc>
        <w:tc>
          <w:tcPr>
            <w:tcW w:type="dxa" w:w="1560"/>
            <w:shd w:val="clear" w:color="auto" w:fill="1A1A2E"/>
          </w:tcPr>
          <w:p>
            <w:pPr>
              <w:jc w:val="center"/>
            </w:pPr>
            <w:r>
              <w:rPr>
                <w:b/>
                <w:color w:val="FFFFFF"/>
                <w:sz w:val="18"/>
              </w:rPr>
              <w:t>Total Spend</w:t>
            </w:r>
          </w:p>
        </w:tc>
        <w:tc>
          <w:tcPr>
            <w:tcW w:type="dxa" w:w="1560"/>
            <w:shd w:val="clear" w:color="auto" w:fill="1A1A2E"/>
          </w:tcPr>
          <w:p>
            <w:pPr>
              <w:jc w:val="center"/>
            </w:pPr>
            <w:r>
              <w:rPr>
                <w:b/>
                <w:color w:val="FFFFFF"/>
                <w:sz w:val="18"/>
              </w:rPr>
              <w:t>Total Conversions</w:t>
            </w:r>
          </w:p>
        </w:tc>
        <w:tc>
          <w:tcPr>
            <w:tcW w:type="dxa" w:w="1560"/>
            <w:shd w:val="clear" w:color="auto" w:fill="1A1A2E"/>
          </w:tcPr>
          <w:p>
            <w:pPr>
              <w:jc w:val="center"/>
            </w:pPr>
            <w:r>
              <w:rPr>
                <w:b/>
                <w:color w:val="FFFFFF"/>
                <w:sz w:val="18"/>
              </w:rPr>
              <w:t>Avg Engagement</w:t>
            </w:r>
          </w:p>
        </w:tc>
      </w:tr>
      <w:tr>
        <w:tc>
          <w:tcPr>
            <w:tcW w:type="dxa" w:w="1560"/>
          </w:tcPr>
          <w:p>
            <w:pPr>
              <w:jc w:val="center"/>
            </w:pPr>
            <w:r>
              <w:rPr>
                <w:sz w:val="18"/>
              </w:rPr>
              <w:t>TechCorp</w:t>
            </w:r>
          </w:p>
        </w:tc>
        <w:tc>
          <w:tcPr>
            <w:tcW w:type="dxa" w:w="1560"/>
          </w:tcPr>
          <w:p>
            <w:pPr>
              <w:jc w:val="center"/>
            </w:pPr>
            <w:r>
              <w:rPr>
                <w:sz w:val="18"/>
              </w:rPr>
              <w:t>5.01</w:t>
            </w:r>
          </w:p>
        </w:tc>
        <w:tc>
          <w:tcPr>
            <w:tcW w:type="dxa" w:w="1560"/>
          </w:tcPr>
          <w:p>
            <w:pPr>
              <w:jc w:val="center"/>
            </w:pPr>
            <w:r>
              <w:rPr>
                <w:sz w:val="18"/>
              </w:rPr>
              <w:t>8.0%</w:t>
            </w:r>
          </w:p>
        </w:tc>
        <w:tc>
          <w:tcPr>
            <w:tcW w:type="dxa" w:w="1560"/>
          </w:tcPr>
          <w:p>
            <w:pPr>
              <w:jc w:val="center"/>
            </w:pPr>
            <w:r>
              <w:rPr>
                <w:sz w:val="18"/>
              </w:rPr>
              <w:t>$0.50B</w:t>
            </w:r>
          </w:p>
        </w:tc>
        <w:tc>
          <w:tcPr>
            <w:tcW w:type="dxa" w:w="1560"/>
          </w:tcPr>
          <w:p>
            <w:pPr>
              <w:jc w:val="center"/>
            </w:pPr>
            <w:r>
              <w:rPr>
                <w:sz w:val="18"/>
              </w:rPr>
              <w:t>1.78M</w:t>
            </w:r>
          </w:p>
        </w:tc>
        <w:tc>
          <w:tcPr>
            <w:tcW w:type="dxa" w:w="1560"/>
          </w:tcPr>
          <w:p>
            <w:pPr>
              <w:jc w:val="center"/>
            </w:pPr>
            <w:r>
              <w:rPr>
                <w:sz w:val="18"/>
              </w:rPr>
              <w:t>5.48</w:t>
            </w:r>
          </w:p>
        </w:tc>
      </w:tr>
      <w:tr>
        <w:tc>
          <w:tcPr>
            <w:tcW w:type="dxa" w:w="1560"/>
            <w:shd w:val="clear" w:color="auto" w:fill="F5F5F5"/>
          </w:tcPr>
          <w:p>
            <w:pPr>
              <w:jc w:val="center"/>
            </w:pPr>
            <w:r>
              <w:rPr>
                <w:sz w:val="18"/>
              </w:rPr>
              <w:t>Alpha Innovations</w:t>
            </w:r>
          </w:p>
        </w:tc>
        <w:tc>
          <w:tcPr>
            <w:tcW w:type="dxa" w:w="1560"/>
            <w:shd w:val="clear" w:color="auto" w:fill="F5F5F5"/>
          </w:tcPr>
          <w:p>
            <w:pPr>
              <w:jc w:val="center"/>
            </w:pPr>
            <w:r>
              <w:rPr>
                <w:sz w:val="18"/>
              </w:rPr>
              <w:t>5.01</w:t>
            </w:r>
          </w:p>
        </w:tc>
        <w:tc>
          <w:tcPr>
            <w:tcW w:type="dxa" w:w="1560"/>
            <w:shd w:val="clear" w:color="auto" w:fill="F5F5F5"/>
          </w:tcPr>
          <w:p>
            <w:pPr>
              <w:jc w:val="center"/>
            </w:pPr>
            <w:r>
              <w:rPr>
                <w:sz w:val="18"/>
              </w:rPr>
              <w:t>8.0%</w:t>
            </w:r>
          </w:p>
        </w:tc>
        <w:tc>
          <w:tcPr>
            <w:tcW w:type="dxa" w:w="1560"/>
            <w:shd w:val="clear" w:color="auto" w:fill="F5F5F5"/>
          </w:tcPr>
          <w:p>
            <w:pPr>
              <w:jc w:val="center"/>
            </w:pPr>
            <w:r>
              <w:rPr>
                <w:sz w:val="18"/>
              </w:rPr>
              <w:t>$0.50B</w:t>
            </w:r>
          </w:p>
        </w:tc>
        <w:tc>
          <w:tcPr>
            <w:tcW w:type="dxa" w:w="1560"/>
            <w:shd w:val="clear" w:color="auto" w:fill="F5F5F5"/>
          </w:tcPr>
          <w:p>
            <w:pPr>
              <w:jc w:val="center"/>
            </w:pPr>
            <w:r>
              <w:rPr>
                <w:sz w:val="18"/>
              </w:rPr>
              <w:t>1.76M</w:t>
            </w:r>
          </w:p>
        </w:tc>
        <w:tc>
          <w:tcPr>
            <w:tcW w:type="dxa" w:w="1560"/>
            <w:shd w:val="clear" w:color="auto" w:fill="F5F5F5"/>
          </w:tcPr>
          <w:p>
            <w:pPr>
              <w:jc w:val="center"/>
            </w:pPr>
            <w:r>
              <w:rPr>
                <w:sz w:val="18"/>
              </w:rPr>
              <w:t>5.50</w:t>
            </w:r>
          </w:p>
        </w:tc>
      </w:tr>
      <w:tr>
        <w:tc>
          <w:tcPr>
            <w:tcW w:type="dxa" w:w="1560"/>
          </w:tcPr>
          <w:p>
            <w:pPr>
              <w:jc w:val="center"/>
            </w:pPr>
            <w:r>
              <w:rPr>
                <w:sz w:val="18"/>
              </w:rPr>
              <w:t>DataTech Solutions</w:t>
            </w:r>
          </w:p>
        </w:tc>
        <w:tc>
          <w:tcPr>
            <w:tcW w:type="dxa" w:w="1560"/>
          </w:tcPr>
          <w:p>
            <w:pPr>
              <w:jc w:val="center"/>
            </w:pPr>
            <w:r>
              <w:rPr>
                <w:sz w:val="18"/>
              </w:rPr>
              <w:t>5.01</w:t>
            </w:r>
          </w:p>
        </w:tc>
        <w:tc>
          <w:tcPr>
            <w:tcW w:type="dxa" w:w="1560"/>
          </w:tcPr>
          <w:p>
            <w:pPr>
              <w:jc w:val="center"/>
            </w:pPr>
            <w:r>
              <w:rPr>
                <w:sz w:val="18"/>
              </w:rPr>
              <w:t>8.0%</w:t>
            </w:r>
          </w:p>
        </w:tc>
        <w:tc>
          <w:tcPr>
            <w:tcW w:type="dxa" w:w="1560"/>
          </w:tcPr>
          <w:p>
            <w:pPr>
              <w:jc w:val="center"/>
            </w:pPr>
            <w:r>
              <w:rPr>
                <w:sz w:val="18"/>
              </w:rPr>
              <w:t>$0.50B</w:t>
            </w:r>
          </w:p>
        </w:tc>
        <w:tc>
          <w:tcPr>
            <w:tcW w:type="dxa" w:w="1560"/>
          </w:tcPr>
          <w:p>
            <w:pPr>
              <w:jc w:val="center"/>
            </w:pPr>
            <w:r>
              <w:rPr>
                <w:sz w:val="18"/>
              </w:rPr>
              <w:t>1.76M</w:t>
            </w:r>
          </w:p>
        </w:tc>
        <w:tc>
          <w:tcPr>
            <w:tcW w:type="dxa" w:w="1560"/>
          </w:tcPr>
          <w:p>
            <w:pPr>
              <w:jc w:val="center"/>
            </w:pPr>
            <w:r>
              <w:rPr>
                <w:sz w:val="18"/>
              </w:rPr>
              <w:t>5.50</w:t>
            </w:r>
          </w:p>
        </w:tc>
      </w:tr>
      <w:tr>
        <w:tc>
          <w:tcPr>
            <w:tcW w:type="dxa" w:w="1560"/>
            <w:shd w:val="clear" w:color="auto" w:fill="F5F5F5"/>
          </w:tcPr>
          <w:p>
            <w:pPr>
              <w:jc w:val="center"/>
            </w:pPr>
            <w:r>
              <w:rPr>
                <w:sz w:val="18"/>
              </w:rPr>
              <w:t>Innovate Industries</w:t>
            </w:r>
          </w:p>
        </w:tc>
        <w:tc>
          <w:tcPr>
            <w:tcW w:type="dxa" w:w="1560"/>
            <w:shd w:val="clear" w:color="auto" w:fill="F5F5F5"/>
          </w:tcPr>
          <w:p>
            <w:pPr>
              <w:jc w:val="center"/>
            </w:pPr>
            <w:r>
              <w:rPr>
                <w:sz w:val="18"/>
              </w:rPr>
              <w:t>5.00</w:t>
            </w:r>
          </w:p>
        </w:tc>
        <w:tc>
          <w:tcPr>
            <w:tcW w:type="dxa" w:w="1560"/>
            <w:shd w:val="clear" w:color="auto" w:fill="F5F5F5"/>
          </w:tcPr>
          <w:p>
            <w:pPr>
              <w:jc w:val="center"/>
            </w:pPr>
            <w:r>
              <w:rPr>
                <w:sz w:val="18"/>
              </w:rPr>
              <w:t>8.0%</w:t>
            </w:r>
          </w:p>
        </w:tc>
        <w:tc>
          <w:tcPr>
            <w:tcW w:type="dxa" w:w="1560"/>
            <w:shd w:val="clear" w:color="auto" w:fill="F5F5F5"/>
          </w:tcPr>
          <w:p>
            <w:pPr>
              <w:jc w:val="center"/>
            </w:pPr>
            <w:r>
              <w:rPr>
                <w:sz w:val="18"/>
              </w:rPr>
              <w:t>$0.50B</w:t>
            </w:r>
          </w:p>
        </w:tc>
        <w:tc>
          <w:tcPr>
            <w:tcW w:type="dxa" w:w="1560"/>
            <w:shd w:val="clear" w:color="auto" w:fill="F5F5F5"/>
          </w:tcPr>
          <w:p>
            <w:pPr>
              <w:jc w:val="center"/>
            </w:pPr>
            <w:r>
              <w:rPr>
                <w:sz w:val="18"/>
              </w:rPr>
              <w:t>1.75M</w:t>
            </w:r>
          </w:p>
        </w:tc>
        <w:tc>
          <w:tcPr>
            <w:tcW w:type="dxa" w:w="1560"/>
            <w:shd w:val="clear" w:color="auto" w:fill="F5F5F5"/>
          </w:tcPr>
          <w:p>
            <w:pPr>
              <w:jc w:val="center"/>
            </w:pPr>
            <w:r>
              <w:rPr>
                <w:sz w:val="18"/>
              </w:rPr>
              <w:t>5.51</w:t>
            </w:r>
          </w:p>
        </w:tc>
      </w:tr>
      <w:tr>
        <w:tc>
          <w:tcPr>
            <w:tcW w:type="dxa" w:w="1560"/>
          </w:tcPr>
          <w:p>
            <w:pPr>
              <w:jc w:val="center"/>
            </w:pPr>
            <w:r>
              <w:rPr>
                <w:sz w:val="18"/>
              </w:rPr>
              <w:t>NexGen Systems</w:t>
            </w:r>
          </w:p>
        </w:tc>
        <w:tc>
          <w:tcPr>
            <w:tcW w:type="dxa" w:w="1560"/>
          </w:tcPr>
          <w:p>
            <w:pPr>
              <w:jc w:val="center"/>
            </w:pPr>
            <w:r>
              <w:rPr>
                <w:sz w:val="18"/>
              </w:rPr>
              <w:t>4.99</w:t>
            </w:r>
          </w:p>
        </w:tc>
        <w:tc>
          <w:tcPr>
            <w:tcW w:type="dxa" w:w="1560"/>
          </w:tcPr>
          <w:p>
            <w:pPr>
              <w:jc w:val="center"/>
            </w:pPr>
            <w:r>
              <w:rPr>
                <w:sz w:val="18"/>
              </w:rPr>
              <w:t>8.0%</w:t>
            </w:r>
          </w:p>
        </w:tc>
        <w:tc>
          <w:tcPr>
            <w:tcW w:type="dxa" w:w="1560"/>
          </w:tcPr>
          <w:p>
            <w:pPr>
              <w:jc w:val="center"/>
            </w:pPr>
            <w:r>
              <w:rPr>
                <w:sz w:val="18"/>
              </w:rPr>
              <w:t>$0.50B</w:t>
            </w:r>
          </w:p>
        </w:tc>
        <w:tc>
          <w:tcPr>
            <w:tcW w:type="dxa" w:w="1560"/>
          </w:tcPr>
          <w:p>
            <w:pPr>
              <w:jc w:val="center"/>
            </w:pPr>
            <w:r>
              <w:rPr>
                <w:sz w:val="18"/>
              </w:rPr>
              <w:t>1.75M</w:t>
            </w:r>
          </w:p>
        </w:tc>
        <w:tc>
          <w:tcPr>
            <w:tcW w:type="dxa" w:w="1560"/>
          </w:tcPr>
          <w:p>
            <w:pPr>
              <w:jc w:val="center"/>
            </w:pPr>
            <w:r>
              <w:rPr>
                <w:sz w:val="18"/>
              </w:rPr>
              <w:t>5.49</w:t>
            </w:r>
          </w:p>
        </w:tc>
      </w:tr>
    </w:tbl>
    <w:p/>
    <w:p>
      <w:pPr>
        <w:pStyle w:val="Heading2"/>
      </w:pPr>
      <w:r>
        <w:rPr>
          <w:color w:val="1A1A2E"/>
        </w:rPr>
        <w:t>11.1 Campaign Duration Analysis</w:t>
      </w:r>
    </w:p>
    <w:p>
      <w:pPr>
        <w:jc w:val="center"/>
      </w:pPr>
      <w:r>
        <w:drawing>
          <wp:inline xmlns:a="http://schemas.openxmlformats.org/drawingml/2006/main" xmlns:pic="http://schemas.openxmlformats.org/drawingml/2006/picture">
            <wp:extent cx="5669280" cy="3736571"/>
            <wp:docPr id="11" name="Picture 11"/>
            <wp:cNvGraphicFramePr>
              <a:graphicFrameLocks noChangeAspect="1"/>
            </wp:cNvGraphicFramePr>
            <a:graphic>
              <a:graphicData uri="http://schemas.openxmlformats.org/drawingml/2006/picture">
                <pic:pic>
                  <pic:nvPicPr>
                    <pic:cNvPr id="0" name="09_duration_impact.png"/>
                    <pic:cNvPicPr/>
                  </pic:nvPicPr>
                  <pic:blipFill>
                    <a:blip r:embed="rId19"/>
                    <a:stretch>
                      <a:fillRect/>
                    </a:stretch>
                  </pic:blipFill>
                  <pic:spPr>
                    <a:xfrm>
                      <a:off x="0" y="0"/>
                      <a:ext cx="5669280" cy="3736571"/>
                    </a:xfrm>
                    <a:prstGeom prst="rect"/>
                  </pic:spPr>
                </pic:pic>
              </a:graphicData>
            </a:graphic>
          </wp:inline>
        </w:drawing>
      </w:r>
    </w:p>
    <w:p>
      <w:pPr>
        <w:jc w:val="center"/>
      </w:pPr>
      <w:r>
        <w:rPr>
          <w:i/>
          <w:color w:val="666666"/>
          <w:sz w:val="18"/>
        </w:rPr>
        <w:t>Figure 11: Impact of campaign duration on ROI, Conversion Rate, and Engagement Score.</w:t>
      </w:r>
    </w:p>
    <w:p>
      <w:pPr>
        <w:spacing w:after="160" w:line="276" w:lineRule="auto"/>
      </w:pPr>
      <w:r>
        <w:t>Campaign duration (15, 30, 45, or 60 days) shows minimal impact on performance metrics. This suggests that the current campaign structures achieve their impact early, and longer durations do not meaningfully improve outcomes. Consider shorter, more frequent campaigns to increase testing velocity and creative freshness.</w:t>
      </w:r>
    </w:p>
    <w:p>
      <w:r>
        <w:br w:type="page"/>
      </w:r>
    </w:p>
    <w:p>
      <w:pPr>
        <w:pStyle w:val="Heading1"/>
      </w:pPr>
      <w:r>
        <w:rPr>
          <w:color w:val="1A1A2E"/>
        </w:rPr>
        <w:t>12. Statistical Significance Testing (ANOVA)</w:t>
      </w:r>
    </w:p>
    <w:p>
      <w:pPr>
        <w:spacing w:after="160" w:line="276" w:lineRule="auto"/>
      </w:pPr>
      <w:r>
        <w:t>To determine whether the observed differences across channels, campaign types, audiences, and other groupings are statistically meaningful — or simply due to random variation — we applied one-way Analysis of Variance (ANOVA) tests. ANOVA compares group means and returns an F-statistic and p-value. A p-value below 0.05 indicates a statistically significant difference at the 95% confidence level.</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1A2E"/>
          </w:tcPr>
          <w:p>
            <w:pPr>
              <w:jc w:val="center"/>
            </w:pPr>
            <w:r>
              <w:rPr>
                <w:b/>
                <w:color w:val="FFFFFF"/>
                <w:sz w:val="18"/>
              </w:rPr>
              <w:t>Variable Tested</w:t>
            </w:r>
          </w:p>
        </w:tc>
        <w:tc>
          <w:tcPr>
            <w:tcW w:type="dxa" w:w="2340"/>
            <w:shd w:val="clear" w:color="auto" w:fill="1A1A2E"/>
          </w:tcPr>
          <w:p>
            <w:pPr>
              <w:jc w:val="center"/>
            </w:pPr>
            <w:r>
              <w:rPr>
                <w:b/>
                <w:color w:val="FFFFFF"/>
                <w:sz w:val="18"/>
              </w:rPr>
              <w:t>F-Statistic</w:t>
            </w:r>
          </w:p>
        </w:tc>
        <w:tc>
          <w:tcPr>
            <w:tcW w:type="dxa" w:w="2340"/>
            <w:shd w:val="clear" w:color="auto" w:fill="1A1A2E"/>
          </w:tcPr>
          <w:p>
            <w:pPr>
              <w:jc w:val="center"/>
            </w:pPr>
            <w:r>
              <w:rPr>
                <w:b/>
                <w:color w:val="FFFFFF"/>
                <w:sz w:val="18"/>
              </w:rPr>
              <w:t>p-Value</w:t>
            </w:r>
          </w:p>
        </w:tc>
        <w:tc>
          <w:tcPr>
            <w:tcW w:type="dxa" w:w="2340"/>
            <w:shd w:val="clear" w:color="auto" w:fill="1A1A2E"/>
          </w:tcPr>
          <w:p>
            <w:pPr>
              <w:jc w:val="center"/>
            </w:pPr>
            <w:r>
              <w:rPr>
                <w:b/>
                <w:color w:val="FFFFFF"/>
                <w:sz w:val="18"/>
              </w:rPr>
              <w:t>Significant at 95%?</w:t>
            </w:r>
          </w:p>
        </w:tc>
      </w:tr>
      <w:tr>
        <w:tc>
          <w:tcPr>
            <w:tcW w:type="dxa" w:w="2340"/>
          </w:tcPr>
          <w:p>
            <w:pPr>
              <w:jc w:val="center"/>
            </w:pPr>
            <w:r>
              <w:rPr>
                <w:sz w:val="18"/>
              </w:rPr>
              <w:t>Channel_Used</w:t>
            </w:r>
          </w:p>
        </w:tc>
        <w:tc>
          <w:tcPr>
            <w:tcW w:type="dxa" w:w="2340"/>
          </w:tcPr>
          <w:p>
            <w:pPr>
              <w:jc w:val="center"/>
            </w:pPr>
            <w:r>
              <w:rPr>
                <w:sz w:val="18"/>
              </w:rPr>
              <w:t>1.55</w:t>
            </w:r>
          </w:p>
        </w:tc>
        <w:tc>
          <w:tcPr>
            <w:tcW w:type="dxa" w:w="2340"/>
          </w:tcPr>
          <w:p>
            <w:pPr>
              <w:jc w:val="center"/>
            </w:pPr>
            <w:r>
              <w:rPr>
                <w:sz w:val="18"/>
              </w:rPr>
              <w:t>0.1711</w:t>
            </w:r>
          </w:p>
        </w:tc>
        <w:tc>
          <w:tcPr>
            <w:tcW w:type="dxa" w:w="2340"/>
          </w:tcPr>
          <w:p>
            <w:pPr>
              <w:jc w:val="center"/>
            </w:pPr>
            <w:r>
              <w:rPr>
                <w:sz w:val="18"/>
              </w:rPr>
              <w:t>No</w:t>
            </w:r>
          </w:p>
        </w:tc>
      </w:tr>
      <w:tr>
        <w:tc>
          <w:tcPr>
            <w:tcW w:type="dxa" w:w="2340"/>
            <w:shd w:val="clear" w:color="auto" w:fill="F5F5F5"/>
          </w:tcPr>
          <w:p>
            <w:pPr>
              <w:jc w:val="center"/>
            </w:pPr>
            <w:r>
              <w:rPr>
                <w:sz w:val="18"/>
              </w:rPr>
              <w:t>Campaign_Type</w:t>
            </w:r>
          </w:p>
        </w:tc>
        <w:tc>
          <w:tcPr>
            <w:tcW w:type="dxa" w:w="2340"/>
            <w:shd w:val="clear" w:color="auto" w:fill="F5F5F5"/>
          </w:tcPr>
          <w:p>
            <w:pPr>
              <w:jc w:val="center"/>
            </w:pPr>
            <w:r>
              <w:rPr>
                <w:sz w:val="18"/>
              </w:rPr>
              <w:t>1.02</w:t>
            </w:r>
          </w:p>
        </w:tc>
        <w:tc>
          <w:tcPr>
            <w:tcW w:type="dxa" w:w="2340"/>
            <w:shd w:val="clear" w:color="auto" w:fill="F5F5F5"/>
          </w:tcPr>
          <w:p>
            <w:pPr>
              <w:jc w:val="center"/>
            </w:pPr>
            <w:r>
              <w:rPr>
                <w:sz w:val="18"/>
              </w:rPr>
              <w:t>0.3969</w:t>
            </w:r>
          </w:p>
        </w:tc>
        <w:tc>
          <w:tcPr>
            <w:tcW w:type="dxa" w:w="2340"/>
            <w:shd w:val="clear" w:color="auto" w:fill="F5F5F5"/>
          </w:tcPr>
          <w:p>
            <w:pPr>
              <w:jc w:val="center"/>
            </w:pPr>
            <w:r>
              <w:rPr>
                <w:sz w:val="18"/>
              </w:rPr>
              <w:t>No</w:t>
            </w:r>
          </w:p>
        </w:tc>
      </w:tr>
      <w:tr>
        <w:tc>
          <w:tcPr>
            <w:tcW w:type="dxa" w:w="2340"/>
          </w:tcPr>
          <w:p>
            <w:pPr>
              <w:jc w:val="center"/>
            </w:pPr>
            <w:r>
              <w:rPr>
                <w:sz w:val="18"/>
              </w:rPr>
              <w:t>Location</w:t>
            </w:r>
          </w:p>
        </w:tc>
        <w:tc>
          <w:tcPr>
            <w:tcW w:type="dxa" w:w="2340"/>
          </w:tcPr>
          <w:p>
            <w:pPr>
              <w:jc w:val="center"/>
            </w:pPr>
            <w:r>
              <w:rPr>
                <w:sz w:val="18"/>
              </w:rPr>
              <w:t>2.28</w:t>
            </w:r>
          </w:p>
        </w:tc>
        <w:tc>
          <w:tcPr>
            <w:tcW w:type="dxa" w:w="2340"/>
          </w:tcPr>
          <w:p>
            <w:pPr>
              <w:jc w:val="center"/>
            </w:pPr>
            <w:r>
              <w:rPr>
                <w:sz w:val="18"/>
              </w:rPr>
              <w:t>0.0583</w:t>
            </w:r>
          </w:p>
        </w:tc>
        <w:tc>
          <w:tcPr>
            <w:tcW w:type="dxa" w:w="2340"/>
          </w:tcPr>
          <w:p>
            <w:pPr>
              <w:jc w:val="center"/>
            </w:pPr>
            <w:r>
              <w:rPr>
                <w:sz w:val="18"/>
              </w:rPr>
              <w:t>No</w:t>
            </w:r>
          </w:p>
        </w:tc>
      </w:tr>
      <w:tr>
        <w:tc>
          <w:tcPr>
            <w:tcW w:type="dxa" w:w="2340"/>
            <w:shd w:val="clear" w:color="auto" w:fill="F5F5F5"/>
          </w:tcPr>
          <w:p>
            <w:pPr>
              <w:jc w:val="center"/>
            </w:pPr>
            <w:r>
              <w:rPr>
                <w:sz w:val="18"/>
              </w:rPr>
              <w:t>Customer_Segment</w:t>
            </w:r>
          </w:p>
        </w:tc>
        <w:tc>
          <w:tcPr>
            <w:tcW w:type="dxa" w:w="2340"/>
            <w:shd w:val="clear" w:color="auto" w:fill="F5F5F5"/>
          </w:tcPr>
          <w:p>
            <w:pPr>
              <w:jc w:val="center"/>
            </w:pPr>
            <w:r>
              <w:rPr>
                <w:sz w:val="18"/>
              </w:rPr>
              <w:t>0.06</w:t>
            </w:r>
          </w:p>
        </w:tc>
        <w:tc>
          <w:tcPr>
            <w:tcW w:type="dxa" w:w="2340"/>
            <w:shd w:val="clear" w:color="auto" w:fill="F5F5F5"/>
          </w:tcPr>
          <w:p>
            <w:pPr>
              <w:jc w:val="center"/>
            </w:pPr>
            <w:r>
              <w:rPr>
                <w:sz w:val="18"/>
              </w:rPr>
              <w:t>0.9926</w:t>
            </w:r>
          </w:p>
        </w:tc>
        <w:tc>
          <w:tcPr>
            <w:tcW w:type="dxa" w:w="2340"/>
            <w:shd w:val="clear" w:color="auto" w:fill="F5F5F5"/>
          </w:tcPr>
          <w:p>
            <w:pPr>
              <w:jc w:val="center"/>
            </w:pPr>
            <w:r>
              <w:rPr>
                <w:sz w:val="18"/>
              </w:rPr>
              <w:t>No</w:t>
            </w:r>
          </w:p>
        </w:tc>
      </w:tr>
      <w:tr>
        <w:tc>
          <w:tcPr>
            <w:tcW w:type="dxa" w:w="2340"/>
          </w:tcPr>
          <w:p>
            <w:pPr>
              <w:jc w:val="center"/>
            </w:pPr>
            <w:r>
              <w:rPr>
                <w:sz w:val="18"/>
              </w:rPr>
              <w:t>Target_Audience</w:t>
            </w:r>
          </w:p>
        </w:tc>
        <w:tc>
          <w:tcPr>
            <w:tcW w:type="dxa" w:w="2340"/>
          </w:tcPr>
          <w:p>
            <w:pPr>
              <w:jc w:val="center"/>
            </w:pPr>
            <w:r>
              <w:rPr>
                <w:sz w:val="18"/>
              </w:rPr>
              <w:t>2.54</w:t>
            </w:r>
          </w:p>
        </w:tc>
        <w:tc>
          <w:tcPr>
            <w:tcW w:type="dxa" w:w="2340"/>
          </w:tcPr>
          <w:p>
            <w:pPr>
              <w:jc w:val="center"/>
            </w:pPr>
            <w:r>
              <w:rPr>
                <w:sz w:val="18"/>
              </w:rPr>
              <w:t>0.0375</w:t>
            </w:r>
          </w:p>
        </w:tc>
        <w:tc>
          <w:tcPr>
            <w:tcW w:type="dxa" w:w="2340"/>
          </w:tcPr>
          <w:p>
            <w:pPr>
              <w:jc w:val="center"/>
            </w:pPr>
            <w:r>
              <w:rPr>
                <w:sz w:val="18"/>
              </w:rPr>
              <w:t>Yes</w:t>
            </w:r>
          </w:p>
        </w:tc>
      </w:tr>
      <w:tr>
        <w:tc>
          <w:tcPr>
            <w:tcW w:type="dxa" w:w="2340"/>
            <w:shd w:val="clear" w:color="auto" w:fill="F5F5F5"/>
          </w:tcPr>
          <w:p>
            <w:pPr>
              <w:jc w:val="center"/>
            </w:pPr>
            <w:r>
              <w:rPr>
                <w:sz w:val="18"/>
              </w:rPr>
              <w:t>Duration</w:t>
            </w:r>
          </w:p>
        </w:tc>
        <w:tc>
          <w:tcPr>
            <w:tcW w:type="dxa" w:w="2340"/>
            <w:shd w:val="clear" w:color="auto" w:fill="F5F5F5"/>
          </w:tcPr>
          <w:p>
            <w:pPr>
              <w:jc w:val="center"/>
            </w:pPr>
            <w:r>
              <w:rPr>
                <w:sz w:val="18"/>
              </w:rPr>
              <w:t>0.63</w:t>
            </w:r>
          </w:p>
        </w:tc>
        <w:tc>
          <w:tcPr>
            <w:tcW w:type="dxa" w:w="2340"/>
            <w:shd w:val="clear" w:color="auto" w:fill="F5F5F5"/>
          </w:tcPr>
          <w:p>
            <w:pPr>
              <w:jc w:val="center"/>
            </w:pPr>
            <w:r>
              <w:rPr>
                <w:sz w:val="18"/>
              </w:rPr>
              <w:t>0.5951</w:t>
            </w:r>
          </w:p>
        </w:tc>
        <w:tc>
          <w:tcPr>
            <w:tcW w:type="dxa" w:w="2340"/>
            <w:shd w:val="clear" w:color="auto" w:fill="F5F5F5"/>
          </w:tcPr>
          <w:p>
            <w:pPr>
              <w:jc w:val="center"/>
            </w:pPr>
            <w:r>
              <w:rPr>
                <w:sz w:val="18"/>
              </w:rPr>
              <w:t>No</w:t>
            </w:r>
          </w:p>
        </w:tc>
      </w:tr>
    </w:tbl>
    <w:p/>
    <w:p>
      <w:pPr>
        <w:spacing w:after="160" w:line="276" w:lineRule="auto"/>
      </w:pPr>
      <w:r>
        <w:t>The ANOVA tests reveal statistically significant differences in ROI across: Target_Audience. This means the differences in average ROI between groups within these categories are unlikely to be due to chance alone.</w:t>
      </w:r>
    </w:p>
    <w:p>
      <w:pPr>
        <w:spacing w:after="160" w:line="276" w:lineRule="auto"/>
      </w:pPr>
      <w:r>
        <w:t>Conversely, the following variables showed no statistically significant difference in ROI: Channel_Used, Campaign_Type, Location, Customer_Segment, Duration. The observed variation in average ROI across these groups falls within the range expected from random sampling variation.</w:t>
      </w:r>
    </w:p>
    <w:p>
      <w:pPr>
        <w:spacing w:after="160" w:line="276" w:lineRule="auto"/>
      </w:pPr>
      <w:r>
        <w:t>These results are critical for decision-making: investing resources to optimize along statistically significant dimensions (where real differences exist) will yield returns, while optimizing along non-significant dimensions may be wasted effort.</w:t>
      </w:r>
    </w:p>
    <w:p>
      <w:r>
        <w:br w:type="page"/>
      </w:r>
    </w:p>
    <w:p>
      <w:pPr>
        <w:pStyle w:val="Heading1"/>
      </w:pPr>
      <w:r>
        <w:rPr>
          <w:color w:val="1A1A2E"/>
        </w:rPr>
        <w:t>13. Predictive Modeling &amp; Feature Importance</w:t>
      </w:r>
    </w:p>
    <w:p>
      <w:pPr>
        <w:spacing w:after="160" w:line="276" w:lineRule="auto"/>
      </w:pPr>
      <w:r>
        <w:t>Beyond descriptive analysis, we trained a machine learning model to predict campaign ROI based on all available input features. This serves two purposes: (1) quantifying how predictable ROI is from campaign characteristics, and (2) identifying which features have the most influence on outcomes.</w:t>
      </w:r>
    </w:p>
    <w:p>
      <w:pPr>
        <w:pStyle w:val="Heading2"/>
      </w:pPr>
      <w:r>
        <w:rPr>
          <w:color w:val="1A1A2E"/>
        </w:rPr>
        <w:t>13.1 Model Design</w:t>
      </w:r>
    </w:p>
    <w:p>
      <w:pPr>
        <w:spacing w:after="160" w:line="276" w:lineRule="auto"/>
      </w:pPr>
      <w:r>
        <w:t>We used a Random Forest Regressor — an ensemble of 200 decision trees — trained on 80% of the data and evaluated on a held-out 20% test set (40,000 campaigns). Random Forest was chosen for its ability to capture non-linear relationships, handle mixed data types, and provide interpretable feature importance scores.</w:t>
      </w:r>
    </w:p>
    <w:p>
      <w:pPr>
        <w:pStyle w:val="Heading2"/>
      </w:pPr>
      <w:r>
        <w:rPr>
          <w:color w:val="1A1A2E"/>
        </w:rPr>
        <w:t>13.2 Model Performance</w:t>
      </w: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340"/>
        <w:gridCol w:w="2340"/>
        <w:gridCol w:w="2340"/>
        <w:gridCol w:w="2340"/>
      </w:tblGrid>
      <w:tr>
        <w:tc>
          <w:tcPr>
            <w:tcW w:type="dxa" w:w="2340"/>
          </w:tcPr>
          <w:p>
            <w:pPr>
              <w:jc w:val="center"/>
            </w:pPr>
            <w:r>
              <w:rPr>
                <w:color w:val="666666"/>
                <w:sz w:val="16"/>
              </w:rPr>
              <w:t>R² Score</w:t>
            </w:r>
          </w:p>
          <w:p>
            <w:pPr>
              <w:jc w:val="center"/>
            </w:pPr>
            <w:r>
              <w:rPr>
                <w:b/>
                <w:color w:val="1A1A2E"/>
                <w:sz w:val="28"/>
              </w:rPr>
              <w:t>-0.0009</w:t>
            </w:r>
          </w:p>
        </w:tc>
        <w:tc>
          <w:tcPr>
            <w:tcW w:type="dxa" w:w="2340"/>
          </w:tcPr>
          <w:p>
            <w:pPr>
              <w:jc w:val="center"/>
            </w:pPr>
            <w:r>
              <w:rPr>
                <w:color w:val="666666"/>
                <w:sz w:val="16"/>
              </w:rPr>
              <w:t>Mean Absolute Error</w:t>
            </w:r>
          </w:p>
          <w:p>
            <w:pPr>
              <w:jc w:val="center"/>
            </w:pPr>
            <w:r>
              <w:rPr>
                <w:b/>
                <w:color w:val="1A1A2E"/>
                <w:sz w:val="28"/>
              </w:rPr>
              <w:t>1.50</w:t>
            </w:r>
          </w:p>
        </w:tc>
        <w:tc>
          <w:tcPr>
            <w:tcW w:type="dxa" w:w="2340"/>
          </w:tcPr>
          <w:p>
            <w:pPr>
              <w:jc w:val="center"/>
            </w:pPr>
            <w:r>
              <w:rPr>
                <w:color w:val="666666"/>
                <w:sz w:val="16"/>
              </w:rPr>
              <w:t>Test Set Size</w:t>
            </w:r>
          </w:p>
          <w:p>
            <w:pPr>
              <w:jc w:val="center"/>
            </w:pPr>
            <w:r>
              <w:rPr>
                <w:b/>
                <w:color w:val="1A1A2E"/>
                <w:sz w:val="28"/>
              </w:rPr>
              <w:t>40,000</w:t>
            </w:r>
          </w:p>
        </w:tc>
        <w:tc>
          <w:tcPr>
            <w:tcW w:type="dxa" w:w="2340"/>
          </w:tcPr>
          <w:p>
            <w:pPr>
              <w:jc w:val="center"/>
            </w:pPr>
            <w:r>
              <w:rPr>
                <w:color w:val="666666"/>
                <w:sz w:val="16"/>
              </w:rPr>
              <w:t>Trees in Forest</w:t>
            </w:r>
          </w:p>
          <w:p>
            <w:pPr>
              <w:jc w:val="center"/>
            </w:pPr>
            <w:r>
              <w:rPr>
                <w:b/>
                <w:color w:val="1A1A2E"/>
                <w:sz w:val="28"/>
              </w:rPr>
              <w:t>200</w:t>
            </w:r>
          </w:p>
        </w:tc>
      </w:tr>
    </w:tbl>
    <w:p/>
    <w:p>
      <w:pPr>
        <w:spacing w:after="160" w:line="276" w:lineRule="auto"/>
      </w:pPr>
      <w:r>
        <w:t>The model achieved an R² of -0.0009, meaning it explains only -0.1% of the variance in ROI. This very low predictive power is itself a finding: it tells us that ROI is largely independent of the observable campaign features in this dataset. In other words, the features recorded here — channel, campaign type, audience, location, duration — do not meaningfully determine whether a campaign achieves high or low ROI. This suggests that unmeasured factors (creative quality, market timing, competitive dynamics, ad copy, landing page optimization) are the primary drivers of campaign success.</w:t>
      </w:r>
    </w:p>
    <w:p>
      <w:pPr>
        <w:jc w:val="center"/>
      </w:pPr>
      <w:r>
        <w:drawing>
          <wp:inline xmlns:a="http://schemas.openxmlformats.org/drawingml/2006/main" xmlns:pic="http://schemas.openxmlformats.org/drawingml/2006/picture">
            <wp:extent cx="5669280" cy="5669280"/>
            <wp:docPr id="12" name="Picture 12"/>
            <wp:cNvGraphicFramePr>
              <a:graphicFrameLocks noChangeAspect="1"/>
            </wp:cNvGraphicFramePr>
            <a:graphic>
              <a:graphicData uri="http://schemas.openxmlformats.org/drawingml/2006/picture">
                <pic:pic>
                  <pic:nvPicPr>
                    <pic:cNvPr id="0" name="13_predicted_vs_actual.png"/>
                    <pic:cNvPicPr/>
                  </pic:nvPicPr>
                  <pic:blipFill>
                    <a:blip r:embed="rId20"/>
                    <a:stretch>
                      <a:fillRect/>
                    </a:stretch>
                  </pic:blipFill>
                  <pic:spPr>
                    <a:xfrm>
                      <a:off x="0" y="0"/>
                      <a:ext cx="5669280" cy="5669280"/>
                    </a:xfrm>
                    <a:prstGeom prst="rect"/>
                  </pic:spPr>
                </pic:pic>
              </a:graphicData>
            </a:graphic>
          </wp:inline>
        </w:drawing>
      </w:r>
    </w:p>
    <w:p>
      <w:pPr>
        <w:jc w:val="center"/>
      </w:pPr>
      <w:r>
        <w:rPr>
          <w:i/>
          <w:color w:val="666666"/>
          <w:sz w:val="18"/>
        </w:rPr>
        <w:t>Figure 12: Predicted vs. Actual ROI (R² = -0.0009). Points near the red diagonal indicate accurate predictions.</w:t>
      </w:r>
    </w:p>
    <w:p>
      <w:pPr>
        <w:pStyle w:val="Heading2"/>
      </w:pPr>
      <w:r>
        <w:rPr>
          <w:color w:val="1A1A2E"/>
        </w:rPr>
        <w:t>13.3 Feature Importance</w:t>
      </w:r>
    </w:p>
    <w:p>
      <w:pPr>
        <w:spacing w:after="160" w:line="276" w:lineRule="auto"/>
      </w:pPr>
      <w:r>
        <w:t>Feature importance scores indicate how much each variable contributes to the model's predictions. Higher scores mean the variable has more influence on predicted ROI.</w:t>
      </w:r>
    </w:p>
    <w:p>
      <w:pPr>
        <w:jc w:val="center"/>
      </w:pPr>
      <w:r>
        <w:drawing>
          <wp:inline xmlns:a="http://schemas.openxmlformats.org/drawingml/2006/main" xmlns:pic="http://schemas.openxmlformats.org/drawingml/2006/picture">
            <wp:extent cx="5669280" cy="3355288"/>
            <wp:docPr id="13" name="Picture 13"/>
            <wp:cNvGraphicFramePr>
              <a:graphicFrameLocks noChangeAspect="1"/>
            </wp:cNvGraphicFramePr>
            <a:graphic>
              <a:graphicData uri="http://schemas.openxmlformats.org/drawingml/2006/picture">
                <pic:pic>
                  <pic:nvPicPr>
                    <pic:cNvPr id="0" name="12_feature_importance.png"/>
                    <pic:cNvPicPr/>
                  </pic:nvPicPr>
                  <pic:blipFill>
                    <a:blip r:embed="rId21"/>
                    <a:stretch>
                      <a:fillRect/>
                    </a:stretch>
                  </pic:blipFill>
                  <pic:spPr>
                    <a:xfrm>
                      <a:off x="0" y="0"/>
                      <a:ext cx="5669280" cy="3355288"/>
                    </a:xfrm>
                    <a:prstGeom prst="rect"/>
                  </pic:spPr>
                </pic:pic>
              </a:graphicData>
            </a:graphic>
          </wp:inline>
        </w:drawing>
      </w:r>
    </w:p>
    <w:p>
      <w:pPr>
        <w:jc w:val="center"/>
      </w:pPr>
      <w:r>
        <w:rPr>
          <w:i/>
          <w:color w:val="666666"/>
          <w:sz w:val="18"/>
        </w:rPr>
        <w:t>Figure 13: Random Forest feature importance ranking for ROI prediction.</w:t>
      </w:r>
    </w:p>
    <w:p>
      <w:pPr>
        <w:spacing w:after="160" w:line="276" w:lineRule="auto"/>
      </w:pPr>
      <w:r>
        <w:t>The top three predictive features are: Acquisition_Cost (0.217), Impressions (0.204), and Clicks (0.176). This ranking reveals which levers marketers should focus on when designing campaigns.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1A2E"/>
          </w:tcPr>
          <w:p>
            <w:pPr>
              <w:jc w:val="center"/>
            </w:pPr>
            <w:r>
              <w:rPr>
                <w:b/>
                <w:color w:val="FFFFFF"/>
                <w:sz w:val="18"/>
              </w:rPr>
              <w:t>Rank</w:t>
            </w:r>
          </w:p>
        </w:tc>
        <w:tc>
          <w:tcPr>
            <w:tcW w:type="dxa" w:w="2340"/>
            <w:shd w:val="clear" w:color="auto" w:fill="1A1A2E"/>
          </w:tcPr>
          <w:p>
            <w:pPr>
              <w:jc w:val="center"/>
            </w:pPr>
            <w:r>
              <w:rPr>
                <w:b/>
                <w:color w:val="FFFFFF"/>
                <w:sz w:val="18"/>
              </w:rPr>
              <w:t>Feature</w:t>
            </w:r>
          </w:p>
        </w:tc>
        <w:tc>
          <w:tcPr>
            <w:tcW w:type="dxa" w:w="2340"/>
            <w:shd w:val="clear" w:color="auto" w:fill="1A1A2E"/>
          </w:tcPr>
          <w:p>
            <w:pPr>
              <w:jc w:val="center"/>
            </w:pPr>
            <w:r>
              <w:rPr>
                <w:b/>
                <w:color w:val="FFFFFF"/>
                <w:sz w:val="18"/>
              </w:rPr>
              <w:t>Importance Score</w:t>
            </w:r>
          </w:p>
        </w:tc>
        <w:tc>
          <w:tcPr>
            <w:tcW w:type="dxa" w:w="2340"/>
            <w:shd w:val="clear" w:color="auto" w:fill="1A1A2E"/>
          </w:tcPr>
          <w:p>
            <w:pPr>
              <w:jc w:val="center"/>
            </w:pPr>
            <w:r>
              <w:rPr>
                <w:b/>
                <w:color w:val="FFFFFF"/>
                <w:sz w:val="18"/>
              </w:rPr>
              <w:t>Cumulative %</w:t>
            </w:r>
          </w:p>
        </w:tc>
      </w:tr>
      <w:tr>
        <w:tc>
          <w:tcPr>
            <w:tcW w:type="dxa" w:w="2340"/>
          </w:tcPr>
          <w:p>
            <w:pPr>
              <w:jc w:val="center"/>
            </w:pPr>
            <w:r>
              <w:rPr>
                <w:sz w:val="18"/>
              </w:rPr>
              <w:t>1</w:t>
            </w:r>
          </w:p>
        </w:tc>
        <w:tc>
          <w:tcPr>
            <w:tcW w:type="dxa" w:w="2340"/>
          </w:tcPr>
          <w:p>
            <w:pPr>
              <w:jc w:val="center"/>
            </w:pPr>
            <w:r>
              <w:rPr>
                <w:sz w:val="18"/>
              </w:rPr>
              <w:t>Acquisition_Cost</w:t>
            </w:r>
          </w:p>
        </w:tc>
        <w:tc>
          <w:tcPr>
            <w:tcW w:type="dxa" w:w="2340"/>
          </w:tcPr>
          <w:p>
            <w:pPr>
              <w:jc w:val="center"/>
            </w:pPr>
            <w:r>
              <w:rPr>
                <w:sz w:val="18"/>
              </w:rPr>
              <w:t>0.2170</w:t>
            </w:r>
          </w:p>
        </w:tc>
        <w:tc>
          <w:tcPr>
            <w:tcW w:type="dxa" w:w="2340"/>
          </w:tcPr>
          <w:p>
            <w:pPr>
              <w:jc w:val="center"/>
            </w:pPr>
            <w:r>
              <w:rPr>
                <w:sz w:val="18"/>
              </w:rPr>
              <w:t>21.7%</w:t>
            </w:r>
          </w:p>
        </w:tc>
      </w:tr>
      <w:tr>
        <w:tc>
          <w:tcPr>
            <w:tcW w:type="dxa" w:w="2340"/>
            <w:shd w:val="clear" w:color="auto" w:fill="F5F5F5"/>
          </w:tcPr>
          <w:p>
            <w:pPr>
              <w:jc w:val="center"/>
            </w:pPr>
            <w:r>
              <w:rPr>
                <w:sz w:val="18"/>
              </w:rPr>
              <w:t>2</w:t>
            </w:r>
          </w:p>
        </w:tc>
        <w:tc>
          <w:tcPr>
            <w:tcW w:type="dxa" w:w="2340"/>
            <w:shd w:val="clear" w:color="auto" w:fill="F5F5F5"/>
          </w:tcPr>
          <w:p>
            <w:pPr>
              <w:jc w:val="center"/>
            </w:pPr>
            <w:r>
              <w:rPr>
                <w:sz w:val="18"/>
              </w:rPr>
              <w:t>Impressions</w:t>
            </w:r>
          </w:p>
        </w:tc>
        <w:tc>
          <w:tcPr>
            <w:tcW w:type="dxa" w:w="2340"/>
            <w:shd w:val="clear" w:color="auto" w:fill="F5F5F5"/>
          </w:tcPr>
          <w:p>
            <w:pPr>
              <w:jc w:val="center"/>
            </w:pPr>
            <w:r>
              <w:rPr>
                <w:sz w:val="18"/>
              </w:rPr>
              <w:t>0.2041</w:t>
            </w:r>
          </w:p>
        </w:tc>
        <w:tc>
          <w:tcPr>
            <w:tcW w:type="dxa" w:w="2340"/>
            <w:shd w:val="clear" w:color="auto" w:fill="F5F5F5"/>
          </w:tcPr>
          <w:p>
            <w:pPr>
              <w:jc w:val="center"/>
            </w:pPr>
            <w:r>
              <w:rPr>
                <w:sz w:val="18"/>
              </w:rPr>
              <w:t>42.1%</w:t>
            </w:r>
          </w:p>
        </w:tc>
      </w:tr>
      <w:tr>
        <w:tc>
          <w:tcPr>
            <w:tcW w:type="dxa" w:w="2340"/>
          </w:tcPr>
          <w:p>
            <w:pPr>
              <w:jc w:val="center"/>
            </w:pPr>
            <w:r>
              <w:rPr>
                <w:sz w:val="18"/>
              </w:rPr>
              <w:t>3</w:t>
            </w:r>
          </w:p>
        </w:tc>
        <w:tc>
          <w:tcPr>
            <w:tcW w:type="dxa" w:w="2340"/>
          </w:tcPr>
          <w:p>
            <w:pPr>
              <w:jc w:val="center"/>
            </w:pPr>
            <w:r>
              <w:rPr>
                <w:sz w:val="18"/>
              </w:rPr>
              <w:t>Clicks</w:t>
            </w:r>
          </w:p>
        </w:tc>
        <w:tc>
          <w:tcPr>
            <w:tcW w:type="dxa" w:w="2340"/>
          </w:tcPr>
          <w:p>
            <w:pPr>
              <w:jc w:val="center"/>
            </w:pPr>
            <w:r>
              <w:rPr>
                <w:sz w:val="18"/>
              </w:rPr>
              <w:t>0.1757</w:t>
            </w:r>
          </w:p>
        </w:tc>
        <w:tc>
          <w:tcPr>
            <w:tcW w:type="dxa" w:w="2340"/>
          </w:tcPr>
          <w:p>
            <w:pPr>
              <w:jc w:val="center"/>
            </w:pPr>
            <w:r>
              <w:rPr>
                <w:sz w:val="18"/>
              </w:rPr>
              <w:t>59.7%</w:t>
            </w:r>
          </w:p>
        </w:tc>
      </w:tr>
      <w:tr>
        <w:tc>
          <w:tcPr>
            <w:tcW w:type="dxa" w:w="2340"/>
            <w:shd w:val="clear" w:color="auto" w:fill="F5F5F5"/>
          </w:tcPr>
          <w:p>
            <w:pPr>
              <w:jc w:val="center"/>
            </w:pPr>
            <w:r>
              <w:rPr>
                <w:sz w:val="18"/>
              </w:rPr>
              <w:t>4</w:t>
            </w:r>
          </w:p>
        </w:tc>
        <w:tc>
          <w:tcPr>
            <w:tcW w:type="dxa" w:w="2340"/>
            <w:shd w:val="clear" w:color="auto" w:fill="F5F5F5"/>
          </w:tcPr>
          <w:p>
            <w:pPr>
              <w:jc w:val="center"/>
            </w:pPr>
            <w:r>
              <w:rPr>
                <w:sz w:val="18"/>
              </w:rPr>
              <w:t>Conversion_Rate</w:t>
            </w:r>
          </w:p>
        </w:tc>
        <w:tc>
          <w:tcPr>
            <w:tcW w:type="dxa" w:w="2340"/>
            <w:shd w:val="clear" w:color="auto" w:fill="F5F5F5"/>
          </w:tcPr>
          <w:p>
            <w:pPr>
              <w:jc w:val="center"/>
            </w:pPr>
            <w:r>
              <w:rPr>
                <w:sz w:val="18"/>
              </w:rPr>
              <w:t>0.0754</w:t>
            </w:r>
          </w:p>
        </w:tc>
        <w:tc>
          <w:tcPr>
            <w:tcW w:type="dxa" w:w="2340"/>
            <w:shd w:val="clear" w:color="auto" w:fill="F5F5F5"/>
          </w:tcPr>
          <w:p>
            <w:pPr>
              <w:jc w:val="center"/>
            </w:pPr>
            <w:r>
              <w:rPr>
                <w:sz w:val="18"/>
              </w:rPr>
              <w:t>67.2%</w:t>
            </w:r>
          </w:p>
        </w:tc>
      </w:tr>
      <w:tr>
        <w:tc>
          <w:tcPr>
            <w:tcW w:type="dxa" w:w="2340"/>
          </w:tcPr>
          <w:p>
            <w:pPr>
              <w:jc w:val="center"/>
            </w:pPr>
            <w:r>
              <w:rPr>
                <w:sz w:val="18"/>
              </w:rPr>
              <w:t>5</w:t>
            </w:r>
          </w:p>
        </w:tc>
        <w:tc>
          <w:tcPr>
            <w:tcW w:type="dxa" w:w="2340"/>
          </w:tcPr>
          <w:p>
            <w:pPr>
              <w:jc w:val="center"/>
            </w:pPr>
            <w:r>
              <w:rPr>
                <w:sz w:val="18"/>
              </w:rPr>
              <w:t>Engagement_Score</w:t>
            </w:r>
          </w:p>
        </w:tc>
        <w:tc>
          <w:tcPr>
            <w:tcW w:type="dxa" w:w="2340"/>
          </w:tcPr>
          <w:p>
            <w:pPr>
              <w:jc w:val="center"/>
            </w:pPr>
            <w:r>
              <w:rPr>
                <w:sz w:val="18"/>
              </w:rPr>
              <w:t>0.0631</w:t>
            </w:r>
          </w:p>
        </w:tc>
        <w:tc>
          <w:tcPr>
            <w:tcW w:type="dxa" w:w="2340"/>
          </w:tcPr>
          <w:p>
            <w:pPr>
              <w:jc w:val="center"/>
            </w:pPr>
            <w:r>
              <w:rPr>
                <w:sz w:val="18"/>
              </w:rPr>
              <w:t>73.5%</w:t>
            </w:r>
          </w:p>
        </w:tc>
      </w:tr>
      <w:tr>
        <w:tc>
          <w:tcPr>
            <w:tcW w:type="dxa" w:w="2340"/>
            <w:shd w:val="clear" w:color="auto" w:fill="F5F5F5"/>
          </w:tcPr>
          <w:p>
            <w:pPr>
              <w:jc w:val="center"/>
            </w:pPr>
            <w:r>
              <w:rPr>
                <w:sz w:val="18"/>
              </w:rPr>
              <w:t>6</w:t>
            </w:r>
          </w:p>
        </w:tc>
        <w:tc>
          <w:tcPr>
            <w:tcW w:type="dxa" w:w="2340"/>
            <w:shd w:val="clear" w:color="auto" w:fill="F5F5F5"/>
          </w:tcPr>
          <w:p>
            <w:pPr>
              <w:jc w:val="center"/>
            </w:pPr>
            <w:r>
              <w:rPr>
                <w:sz w:val="18"/>
              </w:rPr>
              <w:t>Channel_Used</w:t>
            </w:r>
          </w:p>
        </w:tc>
        <w:tc>
          <w:tcPr>
            <w:tcW w:type="dxa" w:w="2340"/>
            <w:shd w:val="clear" w:color="auto" w:fill="F5F5F5"/>
          </w:tcPr>
          <w:p>
            <w:pPr>
              <w:jc w:val="center"/>
            </w:pPr>
            <w:r>
              <w:rPr>
                <w:sz w:val="18"/>
              </w:rPr>
              <w:t>0.0448</w:t>
            </w:r>
          </w:p>
        </w:tc>
        <w:tc>
          <w:tcPr>
            <w:tcW w:type="dxa" w:w="2340"/>
            <w:shd w:val="clear" w:color="auto" w:fill="F5F5F5"/>
          </w:tcPr>
          <w:p>
            <w:pPr>
              <w:jc w:val="center"/>
            </w:pPr>
            <w:r>
              <w:rPr>
                <w:sz w:val="18"/>
              </w:rPr>
              <w:t>78.0%</w:t>
            </w:r>
          </w:p>
        </w:tc>
      </w:tr>
      <w:tr>
        <w:tc>
          <w:tcPr>
            <w:tcW w:type="dxa" w:w="2340"/>
          </w:tcPr>
          <w:p>
            <w:pPr>
              <w:jc w:val="center"/>
            </w:pPr>
            <w:r>
              <w:rPr>
                <w:sz w:val="18"/>
              </w:rPr>
              <w:t>7</w:t>
            </w:r>
          </w:p>
        </w:tc>
        <w:tc>
          <w:tcPr>
            <w:tcW w:type="dxa" w:w="2340"/>
          </w:tcPr>
          <w:p>
            <w:pPr>
              <w:jc w:val="center"/>
            </w:pPr>
            <w:r>
              <w:rPr>
                <w:sz w:val="18"/>
              </w:rPr>
              <w:t>Language</w:t>
            </w:r>
          </w:p>
        </w:tc>
        <w:tc>
          <w:tcPr>
            <w:tcW w:type="dxa" w:w="2340"/>
          </w:tcPr>
          <w:p>
            <w:pPr>
              <w:jc w:val="center"/>
            </w:pPr>
            <w:r>
              <w:rPr>
                <w:sz w:val="18"/>
              </w:rPr>
              <w:t>0.0391</w:t>
            </w:r>
          </w:p>
        </w:tc>
        <w:tc>
          <w:tcPr>
            <w:tcW w:type="dxa" w:w="2340"/>
          </w:tcPr>
          <w:p>
            <w:pPr>
              <w:jc w:val="center"/>
            </w:pPr>
            <w:r>
              <w:rPr>
                <w:sz w:val="18"/>
              </w:rPr>
              <w:t>81.9%</w:t>
            </w:r>
          </w:p>
        </w:tc>
      </w:tr>
      <w:tr>
        <w:tc>
          <w:tcPr>
            <w:tcW w:type="dxa" w:w="2340"/>
            <w:shd w:val="clear" w:color="auto" w:fill="F5F5F5"/>
          </w:tcPr>
          <w:p>
            <w:pPr>
              <w:jc w:val="center"/>
            </w:pPr>
            <w:r>
              <w:rPr>
                <w:sz w:val="18"/>
              </w:rPr>
              <w:t>8</w:t>
            </w:r>
          </w:p>
        </w:tc>
        <w:tc>
          <w:tcPr>
            <w:tcW w:type="dxa" w:w="2340"/>
            <w:shd w:val="clear" w:color="auto" w:fill="F5F5F5"/>
          </w:tcPr>
          <w:p>
            <w:pPr>
              <w:jc w:val="center"/>
            </w:pPr>
            <w:r>
              <w:rPr>
                <w:sz w:val="18"/>
              </w:rPr>
              <w:t>Campaign_Type</w:t>
            </w:r>
          </w:p>
        </w:tc>
        <w:tc>
          <w:tcPr>
            <w:tcW w:type="dxa" w:w="2340"/>
            <w:shd w:val="clear" w:color="auto" w:fill="F5F5F5"/>
          </w:tcPr>
          <w:p>
            <w:pPr>
              <w:jc w:val="center"/>
            </w:pPr>
            <w:r>
              <w:rPr>
                <w:sz w:val="18"/>
              </w:rPr>
              <w:t>0.0383</w:t>
            </w:r>
          </w:p>
        </w:tc>
        <w:tc>
          <w:tcPr>
            <w:tcW w:type="dxa" w:w="2340"/>
            <w:shd w:val="clear" w:color="auto" w:fill="F5F5F5"/>
          </w:tcPr>
          <w:p>
            <w:pPr>
              <w:jc w:val="center"/>
            </w:pPr>
            <w:r>
              <w:rPr>
                <w:sz w:val="18"/>
              </w:rPr>
              <w:t>85.8%</w:t>
            </w:r>
          </w:p>
        </w:tc>
      </w:tr>
      <w:tr>
        <w:tc>
          <w:tcPr>
            <w:tcW w:type="dxa" w:w="2340"/>
          </w:tcPr>
          <w:p>
            <w:pPr>
              <w:jc w:val="center"/>
            </w:pPr>
            <w:r>
              <w:rPr>
                <w:sz w:val="18"/>
              </w:rPr>
              <w:t>9</w:t>
            </w:r>
          </w:p>
        </w:tc>
        <w:tc>
          <w:tcPr>
            <w:tcW w:type="dxa" w:w="2340"/>
          </w:tcPr>
          <w:p>
            <w:pPr>
              <w:jc w:val="center"/>
            </w:pPr>
            <w:r>
              <w:rPr>
                <w:sz w:val="18"/>
              </w:rPr>
              <w:t>Customer_Segment</w:t>
            </w:r>
          </w:p>
        </w:tc>
        <w:tc>
          <w:tcPr>
            <w:tcW w:type="dxa" w:w="2340"/>
          </w:tcPr>
          <w:p>
            <w:pPr>
              <w:jc w:val="center"/>
            </w:pPr>
            <w:r>
              <w:rPr>
                <w:sz w:val="18"/>
              </w:rPr>
              <w:t>0.0373</w:t>
            </w:r>
          </w:p>
        </w:tc>
        <w:tc>
          <w:tcPr>
            <w:tcW w:type="dxa" w:w="2340"/>
          </w:tcPr>
          <w:p>
            <w:pPr>
              <w:jc w:val="center"/>
            </w:pPr>
            <w:r>
              <w:rPr>
                <w:sz w:val="18"/>
              </w:rPr>
              <w:t>89.5%</w:t>
            </w:r>
          </w:p>
        </w:tc>
      </w:tr>
      <w:tr>
        <w:tc>
          <w:tcPr>
            <w:tcW w:type="dxa" w:w="2340"/>
            <w:shd w:val="clear" w:color="auto" w:fill="F5F5F5"/>
          </w:tcPr>
          <w:p>
            <w:pPr>
              <w:jc w:val="center"/>
            </w:pPr>
            <w:r>
              <w:rPr>
                <w:sz w:val="18"/>
              </w:rPr>
              <w:t>10</w:t>
            </w:r>
          </w:p>
        </w:tc>
        <w:tc>
          <w:tcPr>
            <w:tcW w:type="dxa" w:w="2340"/>
            <w:shd w:val="clear" w:color="auto" w:fill="F5F5F5"/>
          </w:tcPr>
          <w:p>
            <w:pPr>
              <w:jc w:val="center"/>
            </w:pPr>
            <w:r>
              <w:rPr>
                <w:sz w:val="18"/>
              </w:rPr>
              <w:t>Location</w:t>
            </w:r>
          </w:p>
        </w:tc>
        <w:tc>
          <w:tcPr>
            <w:tcW w:type="dxa" w:w="2340"/>
            <w:shd w:val="clear" w:color="auto" w:fill="F5F5F5"/>
          </w:tcPr>
          <w:p>
            <w:pPr>
              <w:jc w:val="center"/>
            </w:pPr>
            <w:r>
              <w:rPr>
                <w:sz w:val="18"/>
              </w:rPr>
              <w:t>0.0371</w:t>
            </w:r>
          </w:p>
        </w:tc>
        <w:tc>
          <w:tcPr>
            <w:tcW w:type="dxa" w:w="2340"/>
            <w:shd w:val="clear" w:color="auto" w:fill="F5F5F5"/>
          </w:tcPr>
          <w:p>
            <w:pPr>
              <w:jc w:val="center"/>
            </w:pPr>
            <w:r>
              <w:rPr>
                <w:sz w:val="18"/>
              </w:rPr>
              <w:t>93.2%</w:t>
            </w:r>
          </w:p>
        </w:tc>
      </w:tr>
      <w:tr>
        <w:tc>
          <w:tcPr>
            <w:tcW w:type="dxa" w:w="2340"/>
          </w:tcPr>
          <w:p>
            <w:pPr>
              <w:jc w:val="center"/>
            </w:pPr>
            <w:r>
              <w:rPr>
                <w:sz w:val="18"/>
              </w:rPr>
              <w:t>11</w:t>
            </w:r>
          </w:p>
        </w:tc>
        <w:tc>
          <w:tcPr>
            <w:tcW w:type="dxa" w:w="2340"/>
          </w:tcPr>
          <w:p>
            <w:pPr>
              <w:jc w:val="center"/>
            </w:pPr>
            <w:r>
              <w:rPr>
                <w:sz w:val="18"/>
              </w:rPr>
              <w:t>Target_Audience</w:t>
            </w:r>
          </w:p>
        </w:tc>
        <w:tc>
          <w:tcPr>
            <w:tcW w:type="dxa" w:w="2340"/>
          </w:tcPr>
          <w:p>
            <w:pPr>
              <w:jc w:val="center"/>
            </w:pPr>
            <w:r>
              <w:rPr>
                <w:sz w:val="18"/>
              </w:rPr>
              <w:t>0.0359</w:t>
            </w:r>
          </w:p>
        </w:tc>
        <w:tc>
          <w:tcPr>
            <w:tcW w:type="dxa" w:w="2340"/>
          </w:tcPr>
          <w:p>
            <w:pPr>
              <w:jc w:val="center"/>
            </w:pPr>
            <w:r>
              <w:rPr>
                <w:sz w:val="18"/>
              </w:rPr>
              <w:t>96.8%</w:t>
            </w:r>
          </w:p>
        </w:tc>
      </w:tr>
      <w:tr>
        <w:tc>
          <w:tcPr>
            <w:tcW w:type="dxa" w:w="2340"/>
            <w:shd w:val="clear" w:color="auto" w:fill="F5F5F5"/>
          </w:tcPr>
          <w:p>
            <w:pPr>
              <w:jc w:val="center"/>
            </w:pPr>
            <w:r>
              <w:rPr>
                <w:sz w:val="18"/>
              </w:rPr>
              <w:t>12</w:t>
            </w:r>
          </w:p>
        </w:tc>
        <w:tc>
          <w:tcPr>
            <w:tcW w:type="dxa" w:w="2340"/>
            <w:shd w:val="clear" w:color="auto" w:fill="F5F5F5"/>
          </w:tcPr>
          <w:p>
            <w:pPr>
              <w:jc w:val="center"/>
            </w:pPr>
            <w:r>
              <w:rPr>
                <w:sz w:val="18"/>
              </w:rPr>
              <w:t>Duration_Days</w:t>
            </w:r>
          </w:p>
        </w:tc>
        <w:tc>
          <w:tcPr>
            <w:tcW w:type="dxa" w:w="2340"/>
            <w:shd w:val="clear" w:color="auto" w:fill="F5F5F5"/>
          </w:tcPr>
          <w:p>
            <w:pPr>
              <w:jc w:val="center"/>
            </w:pPr>
            <w:r>
              <w:rPr>
                <w:sz w:val="18"/>
              </w:rPr>
              <w:t>0.0322</w:t>
            </w:r>
          </w:p>
        </w:tc>
        <w:tc>
          <w:tcPr>
            <w:tcW w:type="dxa" w:w="2340"/>
            <w:shd w:val="clear" w:color="auto" w:fill="F5F5F5"/>
          </w:tcPr>
          <w:p>
            <w:pPr>
              <w:jc w:val="center"/>
            </w:pPr>
            <w:r>
              <w:rPr>
                <w:sz w:val="18"/>
              </w:rPr>
              <w:t>100.0%</w:t>
            </w:r>
          </w:p>
        </w:tc>
      </w:tr>
    </w:tbl>
    <w:p/>
    <w:p>
      <w:r>
        <w:br w:type="page"/>
      </w:r>
    </w:p>
    <w:p>
      <w:pPr>
        <w:pStyle w:val="Heading1"/>
      </w:pPr>
      <w:r>
        <w:rPr>
          <w:color w:val="1A1A2E"/>
        </w:rPr>
        <w:t>14. Correlation Analysis</w:t>
      </w:r>
    </w:p>
    <w:p>
      <w:pPr>
        <w:spacing w:after="160" w:line="276" w:lineRule="auto"/>
      </w:pPr>
      <w:r>
        <w:t>The correlation matrix reveals linear relationships between all numeric campaign metrics. Values range from -1 (perfect negative correlation) to +1 (perfect positive correlation), with 0 indicating no linear relationship. Understanding these correlations helps identify which metrics move together and which are independent.</w:t>
      </w:r>
    </w:p>
    <w:p>
      <w:pPr>
        <w:jc w:val="center"/>
      </w:pPr>
      <w:r>
        <w:drawing>
          <wp:inline xmlns:a="http://schemas.openxmlformats.org/drawingml/2006/main" xmlns:pic="http://schemas.openxmlformats.org/drawingml/2006/picture">
            <wp:extent cx="5669280" cy="4724400"/>
            <wp:docPr id="14" name="Picture 14"/>
            <wp:cNvGraphicFramePr>
              <a:graphicFrameLocks noChangeAspect="1"/>
            </wp:cNvGraphicFramePr>
            <a:graphic>
              <a:graphicData uri="http://schemas.openxmlformats.org/drawingml/2006/picture">
                <pic:pic>
                  <pic:nvPicPr>
                    <pic:cNvPr id="0" name="14_correlation_matrix.png"/>
                    <pic:cNvPicPr/>
                  </pic:nvPicPr>
                  <pic:blipFill>
                    <a:blip r:embed="rId22"/>
                    <a:stretch>
                      <a:fillRect/>
                    </a:stretch>
                  </pic:blipFill>
                  <pic:spPr>
                    <a:xfrm>
                      <a:off x="0" y="0"/>
                      <a:ext cx="5669280" cy="4724400"/>
                    </a:xfrm>
                    <a:prstGeom prst="rect"/>
                  </pic:spPr>
                </pic:pic>
              </a:graphicData>
            </a:graphic>
          </wp:inline>
        </w:drawing>
      </w:r>
    </w:p>
    <w:p>
      <w:pPr>
        <w:jc w:val="center"/>
      </w:pPr>
      <w:r>
        <w:rPr>
          <w:i/>
          <w:color w:val="666666"/>
          <w:sz w:val="18"/>
        </w:rPr>
        <w:t>Figure 14: Correlation matrix of all numeric campaign metrics. Blue = positive correlation, Red = negative correlation.</w:t>
      </w:r>
    </w:p>
    <w:p>
      <w:pPr>
        <w:pStyle w:val="Heading2"/>
      </w:pPr>
      <w:r>
        <w:rPr>
          <w:color w:val="1A1A2E"/>
        </w:rPr>
        <w:t>14.1 Notable Correlations</w:t>
      </w:r>
    </w:p>
    <w:p>
      <w:pPr>
        <w:pStyle w:val="ListBullet"/>
      </w:pPr>
      <w:r>
        <w:t>Conversion_Rate and Est_Conversions: moderate positive correlation (r = 0.69)</w:t>
      </w:r>
    </w:p>
    <w:p>
      <w:pPr>
        <w:pStyle w:val="ListBullet"/>
      </w:pPr>
      <w:r>
        <w:t>Impressions and CTR: moderate negative correlation (r = -0.66)</w:t>
      </w:r>
    </w:p>
    <w:p>
      <w:pPr>
        <w:pStyle w:val="ListBullet"/>
      </w:pPr>
      <w:r>
        <w:t>Clicks and Est_Conversions: moderate positive correlation (r = 0.64)</w:t>
      </w:r>
    </w:p>
    <w:p>
      <w:pPr>
        <w:pStyle w:val="ListBullet"/>
      </w:pPr>
      <w:r>
        <w:t>Clicks and CTR: moderate positive correlation (r = 0.51)</w:t>
      </w:r>
    </w:p>
    <w:p>
      <w:pPr>
        <w:pStyle w:val="ListBullet"/>
      </w:pPr>
      <w:r>
        <w:t>CPA and Est_Conversions: moderate negative correlation (r = -0.49)</w:t>
      </w:r>
    </w:p>
    <w:p>
      <w:pPr>
        <w:pStyle w:val="ListBullet"/>
      </w:pPr>
      <w:r>
        <w:t>Conversion_Rate and CPA: moderate negative correlation (r = -0.48)</w:t>
      </w:r>
    </w:p>
    <w:p>
      <w:pPr>
        <w:pStyle w:val="ListBullet"/>
      </w:pPr>
      <w:r>
        <w:t>Clicks and CPA: moderate negative correlation (r = -0.40)</w:t>
      </w:r>
    </w:p>
    <w:p>
      <w:pPr>
        <w:pStyle w:val="ListBullet"/>
      </w:pPr>
      <w:r>
        <w:t>CTR and Est_Conversions: moderate positive correlation (r = 0.33)</w:t>
      </w:r>
    </w:p>
    <w:p>
      <w:pPr>
        <w:spacing w:after="160" w:line="276" w:lineRule="auto"/>
      </w:pPr>
      <w:r>
        <w:t>The correlation analysis complements the ANOVA and predictive modeling results by showing the pairwise linear relationships between metrics. Low correlations between ROI and other metrics are consistent with the low R² from the predictive model, reinforcing that ROI is not strongly determined by any single observable metric.</w:t>
      </w:r>
    </w:p>
    <w:p>
      <w:r>
        <w:br w:type="page"/>
      </w:r>
    </w:p>
    <w:p>
      <w:pPr>
        <w:pStyle w:val="Heading1"/>
      </w:pPr>
      <w:r>
        <w:rPr>
          <w:color w:val="1A1A2E"/>
        </w:rPr>
        <w:t>15. Key Findings &amp; Strategic Recommendations</w:t>
      </w:r>
    </w:p>
    <w:p>
      <w:pPr>
        <w:pStyle w:val="Heading2"/>
      </w:pPr>
      <w:r>
        <w:rPr>
          <w:color w:val="1A1A2E"/>
        </w:rPr>
        <w:t>15.1 Key Findings</w:t>
      </w:r>
    </w:p>
    <w:p>
      <w:pPr>
        <w:spacing w:after="120"/>
      </w:pPr>
      <w:r>
        <w:rPr>
          <w:b/>
        </w:rPr>
        <w:t xml:space="preserve">Balanced Channel Portfolio: </w:t>
      </w:r>
      <w:r>
        <w:t>All six marketing channels deliver comparable ROI, indicating mature optimization across platforms. No single channel dramatically outperforms or underperforms, reducing concentration risk.</w:t>
      </w:r>
    </w:p>
    <w:p>
      <w:pPr>
        <w:spacing w:after="120"/>
      </w:pPr>
      <w:r>
        <w:rPr>
          <w:b/>
        </w:rPr>
        <w:t xml:space="preserve">Social Media Parity: </w:t>
      </w:r>
      <w:r>
        <w:t>Instagram, Facebook, and YouTube perform similarly on aggregate metrics. Platform selection should be driven by campaign objectives (brand awareness vs. conversion) rather than ROI differences alone.</w:t>
      </w:r>
    </w:p>
    <w:p>
      <w:pPr>
        <w:spacing w:after="120"/>
      </w:pPr>
      <w:r>
        <w:rPr>
          <w:b/>
        </w:rPr>
        <w:t xml:space="preserve">Duration Independence: </w:t>
      </w:r>
      <w:r>
        <w:t>Campaign duration has negligible impact on ROI, conversion rate, or engagement. This challenges the assumption that longer campaigns inherently perform better.</w:t>
      </w:r>
    </w:p>
    <w:p>
      <w:pPr>
        <w:spacing w:after="120"/>
      </w:pPr>
      <w:r>
        <w:rPr>
          <w:b/>
        </w:rPr>
        <w:t xml:space="preserve">Uniform Geographic Performance: </w:t>
      </w:r>
      <w:r>
        <w:t>All five metropolitan markets deliver similar returns, suggesting that national strategies are appropriately calibrated without significant regional underperformance.</w:t>
      </w:r>
    </w:p>
    <w:p>
      <w:pPr>
        <w:spacing w:after="120"/>
      </w:pPr>
      <w:r>
        <w:rPr>
          <w:b/>
        </w:rPr>
        <w:t xml:space="preserve">Cost-ROI Decorrelation: </w:t>
      </w:r>
      <w:r>
        <w:t>Higher acquisition costs do not predict higher ROI. Budget efficiency comes from targeting and creative optimization, not increased spend.</w:t>
      </w:r>
    </w:p>
    <w:p>
      <w:pPr>
        <w:spacing w:after="120"/>
      </w:pPr>
      <w:r>
        <w:rPr>
          <w:b/>
        </w:rPr>
        <w:t xml:space="preserve">Statistical Validation: </w:t>
      </w:r>
      <w:r>
        <w:t>ANOVA testing confirmed that 1 of 6 tested variables show statistically significant differences in ROI at the 95% confidence level, providing rigorous evidence for which optimization levers matter.</w:t>
      </w:r>
    </w:p>
    <w:p>
      <w:pPr>
        <w:spacing w:after="120"/>
      </w:pPr>
      <w:r>
        <w:rPr>
          <w:b/>
        </w:rPr>
        <w:t xml:space="preserve">Low Feature Predictability: </w:t>
      </w:r>
      <w:r>
        <w:t>The Random Forest predictive model achieved an R² of -0.0009, indicating that observable campaign features explain only -0.1% of ROI variance. This strongly suggests that unmeasured factors — creative quality, ad copy, landing pages — are the true drivers of campaign success.</w:t>
      </w:r>
    </w:p>
    <w:p>
      <w:pPr>
        <w:pStyle w:val="Heading2"/>
      </w:pPr>
      <w:r>
        <w:rPr>
          <w:color w:val="1A1A2E"/>
        </w:rPr>
        <w:t>15.2 Strategic Recommendations</w:t>
      </w:r>
    </w:p>
    <w:p>
      <w:pPr>
        <w:spacing w:after="120"/>
      </w:pPr>
      <w:r>
        <w:rPr>
          <w:b/>
        </w:rPr>
        <w:t xml:space="preserve">1. Implement Channel-Campaign Matching: </w:t>
      </w:r>
      <w:r>
        <w:t>Use the interaction heatmap (Figure 3) to match campaign types to their highest-ROI channels rather than distributing uniformly. Even small ROI improvements at this campaign volume translate to significant absolute returns.</w:t>
      </w:r>
    </w:p>
    <w:p>
      <w:pPr>
        <w:spacing w:after="120"/>
      </w:pPr>
      <w:r>
        <w:rPr>
          <w:b/>
        </w:rPr>
        <w:t xml:space="preserve">2. Shift to Shorter Campaign Cycles: </w:t>
      </w:r>
      <w:r>
        <w:t>Given that duration does not improve performance, adopt 15-30 day campaign windows to increase iteration speed, enable more A/B testing, and maintain creative freshness.</w:t>
      </w:r>
    </w:p>
    <w:p>
      <w:pPr>
        <w:spacing w:after="120"/>
      </w:pPr>
      <w:r>
        <w:rPr>
          <w:b/>
        </w:rPr>
        <w:t xml:space="preserve">3. Develop Segment-Specific Creative: </w:t>
      </w:r>
      <w:r>
        <w:t>While current creative resonates consistently across segments, targeted messaging for top-performing segments could unlock incremental conversion gains.</w:t>
      </w:r>
    </w:p>
    <w:p>
      <w:pPr>
        <w:spacing w:after="120"/>
      </w:pPr>
      <w:r>
        <w:rPr>
          <w:b/>
        </w:rPr>
        <w:t xml:space="preserve">4. Cross-Platform Social Sequencing: </w:t>
      </w:r>
      <w:r>
        <w:t>Build awareness on YouTube (video) and Instagram (visual), then retarget engaged users on Facebook for conversion. This funnel-based approach leverages each platform's strengths.</w:t>
      </w:r>
    </w:p>
    <w:p>
      <w:pPr>
        <w:spacing w:after="120"/>
      </w:pPr>
      <w:r>
        <w:rPr>
          <w:b/>
        </w:rPr>
        <w:t xml:space="preserve">5. Invest in Attribution Modeling: </w:t>
      </w:r>
      <w:r>
        <w:t>The uniform performance across channels may mask cross-channel effects. Implement multi-touch attribution to understand how channels work together, not just independently.</w:t>
      </w:r>
    </w:p>
    <w:p>
      <w:pPr>
        <w:spacing w:after="120"/>
      </w:pPr>
      <w:r>
        <w:rPr>
          <w:b/>
        </w:rPr>
        <w:t xml:space="preserve">6. Regional Creative Testing: </w:t>
      </w:r>
      <w:r>
        <w:t>For markets with marginally lower ROI, run localized A/B tests on creative messaging and channel mix before making wholesale budget reallocation decisions.</w:t>
      </w:r>
    </w:p>
    <w:p>
      <w:r>
        <w:br w:type="page"/>
      </w:r>
    </w:p>
    <w:p>
      <w:pPr>
        <w:pStyle w:val="Heading1"/>
      </w:pPr>
      <w:r>
        <w:rPr>
          <w:color w:val="1A1A2E"/>
        </w:rPr>
        <w:t>16. Limitations &amp; Future Research</w:t>
      </w:r>
    </w:p>
    <w:p>
      <w:pPr>
        <w:pStyle w:val="Heading2"/>
      </w:pPr>
      <w:r>
        <w:rPr>
          <w:color w:val="1A1A2E"/>
        </w:rPr>
        <w:t>16.1 Limitations</w:t>
      </w:r>
    </w:p>
    <w:p>
      <w:pPr>
        <w:pStyle w:val="ListBullet"/>
      </w:pPr>
      <w:r>
        <w:t>Synthetic Data: This dataset is synthetically generated, which may not capture real-world distributions, seasonality effects, or competitive dynamics that influence actual campaign performance.</w:t>
      </w:r>
    </w:p>
    <w:p>
      <w:pPr>
        <w:pStyle w:val="ListBullet"/>
      </w:pPr>
      <w:r>
        <w:t>Single-Touch Attribution: The analysis treats each campaign independently. In practice, customers interact with multiple touchpoints before converting, and cross-channel attribution is essential.</w:t>
      </w:r>
    </w:p>
    <w:p>
      <w:pPr>
        <w:pStyle w:val="ListBullet"/>
      </w:pPr>
      <w:r>
        <w:t>Missing Variables: Key factors such as creative quality scores, bid strategies, audience overlap between campaigns, and competitive intensity are not represented in the data.</w:t>
      </w:r>
    </w:p>
    <w:p>
      <w:pPr>
        <w:pStyle w:val="ListBullet"/>
      </w:pPr>
      <w:r>
        <w:t>Static Audience Definitions: The five audience segments are broad categories. Real-world targeting uses hundreds of micro-segments and lookalike audiences.</w:t>
      </w:r>
    </w:p>
    <w:p>
      <w:pPr>
        <w:pStyle w:val="ListBullet"/>
      </w:pPr>
      <w:r>
        <w:t>No A/B Testing Framework: Without controlled experiments, observed differences cannot be attributed to channel or campaign type with statistical certainty.</w:t>
      </w:r>
    </w:p>
    <w:p>
      <w:pPr>
        <w:pStyle w:val="Heading2"/>
      </w:pPr>
      <w:r>
        <w:rPr>
          <w:color w:val="1A1A2E"/>
        </w:rPr>
        <w:t>16.2 Future Research Directions</w:t>
      </w:r>
    </w:p>
    <w:p>
      <w:pPr>
        <w:pStyle w:val="ListBullet"/>
      </w:pPr>
      <w:r>
        <w:t>Multi-Touch Attribution Modeling: Implement Shapley value or Markov chain attribution models to quantify cross-channel effects.</w:t>
      </w:r>
    </w:p>
    <w:p>
      <w:pPr>
        <w:pStyle w:val="ListBullet"/>
      </w:pPr>
      <w:r>
        <w:t>Causal Inference: Apply difference-in-differences or regression discontinuity designs to establish causal relationships between channel allocation and outcomes.</w:t>
      </w:r>
    </w:p>
    <w:p>
      <w:pPr>
        <w:pStyle w:val="ListBullet"/>
      </w:pPr>
      <w:r>
        <w:t>Predictive Modeling: Build machine learning models (gradient boosting, neural networks) to predict campaign ROI based on input features, enabling proactive budget optimization.</w:t>
      </w:r>
    </w:p>
    <w:p>
      <w:pPr>
        <w:pStyle w:val="ListBullet"/>
      </w:pPr>
      <w:r>
        <w:t>Customer Lifetime Value Integration: Extend the analysis beyond acquisition cost to include long-term customer value, retention rates, and repeat purchase behavior.</w:t>
      </w:r>
    </w:p>
    <w:p>
      <w:pPr>
        <w:pStyle w:val="ListBullet"/>
      </w:pPr>
      <w:r>
        <w:t>Real-Time Optimization: Develop dashboards for real-time campaign monitoring with automated budget reallocation triggers based on early performance signals.</w:t>
      </w:r>
    </w:p>
    <w:p>
      <w:r>
        <w:br w:type="page"/>
      </w:r>
    </w:p>
    <w:p>
      <w:pPr>
        <w:pStyle w:val="Heading1"/>
      </w:pPr>
      <w:r>
        <w:rPr>
          <w:color w:val="1A1A2E"/>
        </w:rPr>
        <w:t>17. Appendix</w:t>
      </w:r>
    </w:p>
    <w:p>
      <w:pPr>
        <w:pStyle w:val="Heading2"/>
      </w:pPr>
      <w:r>
        <w:rPr>
          <w:color w:val="1A1A2E"/>
        </w:rPr>
        <w:t>A. Complete Channel Statistics</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1A1A2E"/>
          </w:tcPr>
          <w:p>
            <w:pPr>
              <w:jc w:val="center"/>
            </w:pPr>
            <w:r>
              <w:rPr>
                <w:b/>
                <w:color w:val="FFFFFF"/>
                <w:sz w:val="18"/>
              </w:rPr>
              <w:t>Channel</w:t>
            </w:r>
          </w:p>
        </w:tc>
        <w:tc>
          <w:tcPr>
            <w:tcW w:type="dxa" w:w="1040"/>
            <w:shd w:val="clear" w:color="auto" w:fill="1A1A2E"/>
          </w:tcPr>
          <w:p>
            <w:pPr>
              <w:jc w:val="center"/>
            </w:pPr>
            <w:r>
              <w:rPr>
                <w:b/>
                <w:color w:val="FFFFFF"/>
                <w:sz w:val="18"/>
              </w:rPr>
              <w:t>N</w:t>
            </w:r>
          </w:p>
        </w:tc>
        <w:tc>
          <w:tcPr>
            <w:tcW w:type="dxa" w:w="1040"/>
            <w:shd w:val="clear" w:color="auto" w:fill="1A1A2E"/>
          </w:tcPr>
          <w:p>
            <w:pPr>
              <w:jc w:val="center"/>
            </w:pPr>
            <w:r>
              <w:rPr>
                <w:b/>
                <w:color w:val="FFFFFF"/>
                <w:sz w:val="18"/>
              </w:rPr>
              <w:t>ROI (M)</w:t>
            </w:r>
          </w:p>
        </w:tc>
        <w:tc>
          <w:tcPr>
            <w:tcW w:type="dxa" w:w="1040"/>
            <w:shd w:val="clear" w:color="auto" w:fill="1A1A2E"/>
          </w:tcPr>
          <w:p>
            <w:pPr>
              <w:jc w:val="center"/>
            </w:pPr>
            <w:r>
              <w:rPr>
                <w:b/>
                <w:color w:val="FFFFFF"/>
                <w:sz w:val="18"/>
              </w:rPr>
              <w:t>ROI (SD)</w:t>
            </w:r>
          </w:p>
        </w:tc>
        <w:tc>
          <w:tcPr>
            <w:tcW w:type="dxa" w:w="1040"/>
            <w:shd w:val="clear" w:color="auto" w:fill="1A1A2E"/>
          </w:tcPr>
          <w:p>
            <w:pPr>
              <w:jc w:val="center"/>
            </w:pPr>
            <w:r>
              <w:rPr>
                <w:b/>
                <w:color w:val="FFFFFF"/>
                <w:sz w:val="18"/>
              </w:rPr>
              <w:t>CR</w:t>
            </w:r>
          </w:p>
        </w:tc>
        <w:tc>
          <w:tcPr>
            <w:tcW w:type="dxa" w:w="1040"/>
            <w:shd w:val="clear" w:color="auto" w:fill="1A1A2E"/>
          </w:tcPr>
          <w:p>
            <w:pPr>
              <w:jc w:val="center"/>
            </w:pPr>
            <w:r>
              <w:rPr>
                <w:b/>
                <w:color w:val="FFFFFF"/>
                <w:sz w:val="18"/>
              </w:rPr>
              <w:t>CTR</w:t>
            </w:r>
          </w:p>
        </w:tc>
        <w:tc>
          <w:tcPr>
            <w:tcW w:type="dxa" w:w="1040"/>
            <w:shd w:val="clear" w:color="auto" w:fill="1A1A2E"/>
          </w:tcPr>
          <w:p>
            <w:pPr>
              <w:jc w:val="center"/>
            </w:pPr>
            <w:r>
              <w:rPr>
                <w:b/>
                <w:color w:val="FFFFFF"/>
                <w:sz w:val="18"/>
              </w:rPr>
              <w:t>Eng.</w:t>
            </w:r>
          </w:p>
        </w:tc>
        <w:tc>
          <w:tcPr>
            <w:tcW w:type="dxa" w:w="1040"/>
            <w:shd w:val="clear" w:color="auto" w:fill="1A1A2E"/>
          </w:tcPr>
          <w:p>
            <w:pPr>
              <w:jc w:val="center"/>
            </w:pPr>
            <w:r>
              <w:rPr>
                <w:b/>
                <w:color w:val="FFFFFF"/>
                <w:sz w:val="18"/>
              </w:rPr>
              <w:t>Avg Cost</w:t>
            </w:r>
          </w:p>
        </w:tc>
        <w:tc>
          <w:tcPr>
            <w:tcW w:type="dxa" w:w="1040"/>
            <w:shd w:val="clear" w:color="auto" w:fill="1A1A2E"/>
          </w:tcPr>
          <w:p>
            <w:pPr>
              <w:jc w:val="center"/>
            </w:pPr>
            <w:r>
              <w:rPr>
                <w:b/>
                <w:color w:val="FFFFFF"/>
                <w:sz w:val="18"/>
              </w:rPr>
              <w:t>CPA</w:t>
            </w:r>
          </w:p>
        </w:tc>
      </w:tr>
      <w:tr>
        <w:tc>
          <w:tcPr>
            <w:tcW w:type="dxa" w:w="1040"/>
          </w:tcPr>
          <w:p>
            <w:pPr>
              <w:jc w:val="center"/>
            </w:pPr>
            <w:r>
              <w:rPr>
                <w:sz w:val="18"/>
              </w:rPr>
              <w:t>Email</w:t>
            </w:r>
          </w:p>
        </w:tc>
        <w:tc>
          <w:tcPr>
            <w:tcW w:type="dxa" w:w="1040"/>
          </w:tcPr>
          <w:p>
            <w:pPr>
              <w:jc w:val="center"/>
            </w:pPr>
            <w:r>
              <w:rPr>
                <w:sz w:val="18"/>
              </w:rPr>
              <w:t>33,599</w:t>
            </w:r>
          </w:p>
        </w:tc>
        <w:tc>
          <w:tcPr>
            <w:tcW w:type="dxa" w:w="1040"/>
          </w:tcPr>
          <w:p>
            <w:pPr>
              <w:jc w:val="center"/>
            </w:pPr>
            <w:r>
              <w:rPr>
                <w:sz w:val="18"/>
              </w:rPr>
              <w:t>5.00</w:t>
            </w:r>
          </w:p>
        </w:tc>
        <w:tc>
          <w:tcPr>
            <w:tcW w:type="dxa" w:w="1040"/>
          </w:tcPr>
          <w:p>
            <w:pPr>
              <w:jc w:val="center"/>
            </w:pPr>
            <w:r>
              <w:rPr>
                <w:sz w:val="18"/>
              </w:rPr>
              <w:t>1.74</w:t>
            </w:r>
          </w:p>
        </w:tc>
        <w:tc>
          <w:tcPr>
            <w:tcW w:type="dxa" w:w="1040"/>
          </w:tcPr>
          <w:p>
            <w:pPr>
              <w:jc w:val="center"/>
            </w:pPr>
            <w:r>
              <w:rPr>
                <w:sz w:val="18"/>
              </w:rPr>
              <w:t>8.0%</w:t>
            </w:r>
          </w:p>
        </w:tc>
        <w:tc>
          <w:tcPr>
            <w:tcW w:type="dxa" w:w="1040"/>
          </w:tcPr>
          <w:p>
            <w:pPr>
              <w:jc w:val="center"/>
            </w:pPr>
            <w:r>
              <w:rPr>
                <w:sz w:val="18"/>
              </w:rPr>
              <w:t>14.1%</w:t>
            </w:r>
          </w:p>
        </w:tc>
        <w:tc>
          <w:tcPr>
            <w:tcW w:type="dxa" w:w="1040"/>
          </w:tcPr>
          <w:p>
            <w:pPr>
              <w:jc w:val="center"/>
            </w:pPr>
            <w:r>
              <w:rPr>
                <w:sz w:val="18"/>
              </w:rPr>
              <w:t>5.49</w:t>
            </w:r>
          </w:p>
        </w:tc>
        <w:tc>
          <w:tcPr>
            <w:tcW w:type="dxa" w:w="1040"/>
          </w:tcPr>
          <w:p>
            <w:pPr>
              <w:jc w:val="center"/>
            </w:pPr>
            <w:r>
              <w:rPr>
                <w:sz w:val="18"/>
              </w:rPr>
              <w:t>$12,526</w:t>
            </w:r>
          </w:p>
        </w:tc>
        <w:tc>
          <w:tcPr>
            <w:tcW w:type="dxa" w:w="1040"/>
          </w:tcPr>
          <w:p>
            <w:pPr>
              <w:jc w:val="center"/>
            </w:pPr>
            <w:r>
              <w:rPr>
                <w:sz w:val="18"/>
              </w:rPr>
              <w:t>$632</w:t>
            </w:r>
          </w:p>
        </w:tc>
      </w:tr>
      <w:tr>
        <w:tc>
          <w:tcPr>
            <w:tcW w:type="dxa" w:w="1040"/>
            <w:shd w:val="clear" w:color="auto" w:fill="F5F5F5"/>
          </w:tcPr>
          <w:p>
            <w:pPr>
              <w:jc w:val="center"/>
            </w:pPr>
            <w:r>
              <w:rPr>
                <w:sz w:val="18"/>
              </w:rPr>
              <w:t>Facebook</w:t>
            </w:r>
          </w:p>
        </w:tc>
        <w:tc>
          <w:tcPr>
            <w:tcW w:type="dxa" w:w="1040"/>
            <w:shd w:val="clear" w:color="auto" w:fill="F5F5F5"/>
          </w:tcPr>
          <w:p>
            <w:pPr>
              <w:jc w:val="center"/>
            </w:pPr>
            <w:r>
              <w:rPr>
                <w:sz w:val="18"/>
              </w:rPr>
              <w:t>32,819</w:t>
            </w:r>
          </w:p>
        </w:tc>
        <w:tc>
          <w:tcPr>
            <w:tcW w:type="dxa" w:w="1040"/>
            <w:shd w:val="clear" w:color="auto" w:fill="F5F5F5"/>
          </w:tcPr>
          <w:p>
            <w:pPr>
              <w:jc w:val="center"/>
            </w:pPr>
            <w:r>
              <w:rPr>
                <w:sz w:val="18"/>
              </w:rPr>
              <w:t>5.02</w:t>
            </w:r>
          </w:p>
        </w:tc>
        <w:tc>
          <w:tcPr>
            <w:tcW w:type="dxa" w:w="1040"/>
            <w:shd w:val="clear" w:color="auto" w:fill="F5F5F5"/>
          </w:tcPr>
          <w:p>
            <w:pPr>
              <w:jc w:val="center"/>
            </w:pPr>
            <w:r>
              <w:rPr>
                <w:sz w:val="18"/>
              </w:rPr>
              <w:t>1.74</w:t>
            </w:r>
          </w:p>
        </w:tc>
        <w:tc>
          <w:tcPr>
            <w:tcW w:type="dxa" w:w="1040"/>
            <w:shd w:val="clear" w:color="auto" w:fill="F5F5F5"/>
          </w:tcPr>
          <w:p>
            <w:pPr>
              <w:jc w:val="center"/>
            </w:pPr>
            <w:r>
              <w:rPr>
                <w:sz w:val="18"/>
              </w:rPr>
              <w:t>8.0%</w:t>
            </w:r>
          </w:p>
        </w:tc>
        <w:tc>
          <w:tcPr>
            <w:tcW w:type="dxa" w:w="1040"/>
            <w:shd w:val="clear" w:color="auto" w:fill="F5F5F5"/>
          </w:tcPr>
          <w:p>
            <w:pPr>
              <w:jc w:val="center"/>
            </w:pPr>
            <w:r>
              <w:rPr>
                <w:sz w:val="18"/>
              </w:rPr>
              <w:t>14.0%</w:t>
            </w:r>
          </w:p>
        </w:tc>
        <w:tc>
          <w:tcPr>
            <w:tcW w:type="dxa" w:w="1040"/>
            <w:shd w:val="clear" w:color="auto" w:fill="F5F5F5"/>
          </w:tcPr>
          <w:p>
            <w:pPr>
              <w:jc w:val="center"/>
            </w:pPr>
            <w:r>
              <w:rPr>
                <w:sz w:val="18"/>
              </w:rPr>
              <w:t>5.50</w:t>
            </w:r>
          </w:p>
        </w:tc>
        <w:tc>
          <w:tcPr>
            <w:tcW w:type="dxa" w:w="1040"/>
            <w:shd w:val="clear" w:color="auto" w:fill="F5F5F5"/>
          </w:tcPr>
          <w:p>
            <w:pPr>
              <w:jc w:val="center"/>
            </w:pPr>
            <w:r>
              <w:rPr>
                <w:sz w:val="18"/>
              </w:rPr>
              <w:t>$12,511</w:t>
            </w:r>
          </w:p>
        </w:tc>
        <w:tc>
          <w:tcPr>
            <w:tcW w:type="dxa" w:w="1040"/>
            <w:shd w:val="clear" w:color="auto" w:fill="F5F5F5"/>
          </w:tcPr>
          <w:p>
            <w:pPr>
              <w:jc w:val="center"/>
            </w:pPr>
            <w:r>
              <w:rPr>
                <w:sz w:val="18"/>
              </w:rPr>
              <w:t>$634</w:t>
            </w:r>
          </w:p>
        </w:tc>
      </w:tr>
      <w:tr>
        <w:tc>
          <w:tcPr>
            <w:tcW w:type="dxa" w:w="1040"/>
          </w:tcPr>
          <w:p>
            <w:pPr>
              <w:jc w:val="center"/>
            </w:pPr>
            <w:r>
              <w:rPr>
                <w:sz w:val="18"/>
              </w:rPr>
              <w:t>Google Ads</w:t>
            </w:r>
          </w:p>
        </w:tc>
        <w:tc>
          <w:tcPr>
            <w:tcW w:type="dxa" w:w="1040"/>
          </w:tcPr>
          <w:p>
            <w:pPr>
              <w:jc w:val="center"/>
            </w:pPr>
            <w:r>
              <w:rPr>
                <w:sz w:val="18"/>
              </w:rPr>
              <w:t>33,438</w:t>
            </w:r>
          </w:p>
        </w:tc>
        <w:tc>
          <w:tcPr>
            <w:tcW w:type="dxa" w:w="1040"/>
          </w:tcPr>
          <w:p>
            <w:pPr>
              <w:jc w:val="center"/>
            </w:pPr>
            <w:r>
              <w:rPr>
                <w:sz w:val="18"/>
              </w:rPr>
              <w:t>5.00</w:t>
            </w:r>
          </w:p>
        </w:tc>
        <w:tc>
          <w:tcPr>
            <w:tcW w:type="dxa" w:w="1040"/>
          </w:tcPr>
          <w:p>
            <w:pPr>
              <w:jc w:val="center"/>
            </w:pPr>
            <w:r>
              <w:rPr>
                <w:sz w:val="18"/>
              </w:rPr>
              <w:t>1.73</w:t>
            </w:r>
          </w:p>
        </w:tc>
        <w:tc>
          <w:tcPr>
            <w:tcW w:type="dxa" w:w="1040"/>
          </w:tcPr>
          <w:p>
            <w:pPr>
              <w:jc w:val="center"/>
            </w:pPr>
            <w:r>
              <w:rPr>
                <w:sz w:val="18"/>
              </w:rPr>
              <w:t>8.0%</w:t>
            </w:r>
          </w:p>
        </w:tc>
        <w:tc>
          <w:tcPr>
            <w:tcW w:type="dxa" w:w="1040"/>
          </w:tcPr>
          <w:p>
            <w:pPr>
              <w:jc w:val="center"/>
            </w:pPr>
            <w:r>
              <w:rPr>
                <w:sz w:val="18"/>
              </w:rPr>
              <w:t>13.9%</w:t>
            </w:r>
          </w:p>
        </w:tc>
        <w:tc>
          <w:tcPr>
            <w:tcW w:type="dxa" w:w="1040"/>
          </w:tcPr>
          <w:p>
            <w:pPr>
              <w:jc w:val="center"/>
            </w:pPr>
            <w:r>
              <w:rPr>
                <w:sz w:val="18"/>
              </w:rPr>
              <w:t>5.49</w:t>
            </w:r>
          </w:p>
        </w:tc>
        <w:tc>
          <w:tcPr>
            <w:tcW w:type="dxa" w:w="1040"/>
          </w:tcPr>
          <w:p>
            <w:pPr>
              <w:jc w:val="center"/>
            </w:pPr>
            <w:r>
              <w:rPr>
                <w:sz w:val="18"/>
              </w:rPr>
              <w:t>$12,528</w:t>
            </w:r>
          </w:p>
        </w:tc>
        <w:tc>
          <w:tcPr>
            <w:tcW w:type="dxa" w:w="1040"/>
          </w:tcPr>
          <w:p>
            <w:pPr>
              <w:jc w:val="center"/>
            </w:pPr>
            <w:r>
              <w:rPr>
                <w:sz w:val="18"/>
              </w:rPr>
              <w:t>$642</w:t>
            </w:r>
          </w:p>
        </w:tc>
      </w:tr>
      <w:tr>
        <w:tc>
          <w:tcPr>
            <w:tcW w:type="dxa" w:w="1040"/>
            <w:shd w:val="clear" w:color="auto" w:fill="F5F5F5"/>
          </w:tcPr>
          <w:p>
            <w:pPr>
              <w:jc w:val="center"/>
            </w:pPr>
            <w:r>
              <w:rPr>
                <w:sz w:val="18"/>
              </w:rPr>
              <w:t>Instagram</w:t>
            </w:r>
          </w:p>
        </w:tc>
        <w:tc>
          <w:tcPr>
            <w:tcW w:type="dxa" w:w="1040"/>
            <w:shd w:val="clear" w:color="auto" w:fill="F5F5F5"/>
          </w:tcPr>
          <w:p>
            <w:pPr>
              <w:jc w:val="center"/>
            </w:pPr>
            <w:r>
              <w:rPr>
                <w:sz w:val="18"/>
              </w:rPr>
              <w:t>33,392</w:t>
            </w:r>
          </w:p>
        </w:tc>
        <w:tc>
          <w:tcPr>
            <w:tcW w:type="dxa" w:w="1040"/>
            <w:shd w:val="clear" w:color="auto" w:fill="F5F5F5"/>
          </w:tcPr>
          <w:p>
            <w:pPr>
              <w:jc w:val="center"/>
            </w:pPr>
            <w:r>
              <w:rPr>
                <w:sz w:val="18"/>
              </w:rPr>
              <w:t>4.99</w:t>
            </w:r>
          </w:p>
        </w:tc>
        <w:tc>
          <w:tcPr>
            <w:tcW w:type="dxa" w:w="1040"/>
            <w:shd w:val="clear" w:color="auto" w:fill="F5F5F5"/>
          </w:tcPr>
          <w:p>
            <w:pPr>
              <w:jc w:val="center"/>
            </w:pPr>
            <w:r>
              <w:rPr>
                <w:sz w:val="18"/>
              </w:rPr>
              <w:t>1.74</w:t>
            </w:r>
          </w:p>
        </w:tc>
        <w:tc>
          <w:tcPr>
            <w:tcW w:type="dxa" w:w="1040"/>
            <w:shd w:val="clear" w:color="auto" w:fill="F5F5F5"/>
          </w:tcPr>
          <w:p>
            <w:pPr>
              <w:jc w:val="center"/>
            </w:pPr>
            <w:r>
              <w:rPr>
                <w:sz w:val="18"/>
              </w:rPr>
              <w:t>8.0%</w:t>
            </w:r>
          </w:p>
        </w:tc>
        <w:tc>
          <w:tcPr>
            <w:tcW w:type="dxa" w:w="1040"/>
            <w:shd w:val="clear" w:color="auto" w:fill="F5F5F5"/>
          </w:tcPr>
          <w:p>
            <w:pPr>
              <w:jc w:val="center"/>
            </w:pPr>
            <w:r>
              <w:rPr>
                <w:sz w:val="18"/>
              </w:rPr>
              <w:t>14.0%</w:t>
            </w:r>
          </w:p>
        </w:tc>
        <w:tc>
          <w:tcPr>
            <w:tcW w:type="dxa" w:w="1040"/>
            <w:shd w:val="clear" w:color="auto" w:fill="F5F5F5"/>
          </w:tcPr>
          <w:p>
            <w:pPr>
              <w:jc w:val="center"/>
            </w:pPr>
            <w:r>
              <w:rPr>
                <w:sz w:val="18"/>
              </w:rPr>
              <w:t>5.49</w:t>
            </w:r>
          </w:p>
        </w:tc>
        <w:tc>
          <w:tcPr>
            <w:tcW w:type="dxa" w:w="1040"/>
            <w:shd w:val="clear" w:color="auto" w:fill="F5F5F5"/>
          </w:tcPr>
          <w:p>
            <w:pPr>
              <w:jc w:val="center"/>
            </w:pPr>
            <w:r>
              <w:rPr>
                <w:sz w:val="18"/>
              </w:rPr>
              <w:t>$12,492</w:t>
            </w:r>
          </w:p>
        </w:tc>
        <w:tc>
          <w:tcPr>
            <w:tcW w:type="dxa" w:w="1040"/>
            <w:shd w:val="clear" w:color="auto" w:fill="F5F5F5"/>
          </w:tcPr>
          <w:p>
            <w:pPr>
              <w:jc w:val="center"/>
            </w:pPr>
            <w:r>
              <w:rPr>
                <w:sz w:val="18"/>
              </w:rPr>
              <w:t>$636</w:t>
            </w:r>
          </w:p>
        </w:tc>
      </w:tr>
      <w:tr>
        <w:tc>
          <w:tcPr>
            <w:tcW w:type="dxa" w:w="1040"/>
          </w:tcPr>
          <w:p>
            <w:pPr>
              <w:jc w:val="center"/>
            </w:pPr>
            <w:r>
              <w:rPr>
                <w:sz w:val="18"/>
              </w:rPr>
              <w:t>Website</w:t>
            </w:r>
          </w:p>
        </w:tc>
        <w:tc>
          <w:tcPr>
            <w:tcW w:type="dxa" w:w="1040"/>
          </w:tcPr>
          <w:p>
            <w:pPr>
              <w:jc w:val="center"/>
            </w:pPr>
            <w:r>
              <w:rPr>
                <w:sz w:val="18"/>
              </w:rPr>
              <w:t>33,360</w:t>
            </w:r>
          </w:p>
        </w:tc>
        <w:tc>
          <w:tcPr>
            <w:tcW w:type="dxa" w:w="1040"/>
          </w:tcPr>
          <w:p>
            <w:pPr>
              <w:jc w:val="center"/>
            </w:pPr>
            <w:r>
              <w:rPr>
                <w:sz w:val="18"/>
              </w:rPr>
              <w:t>5.01</w:t>
            </w:r>
          </w:p>
        </w:tc>
        <w:tc>
          <w:tcPr>
            <w:tcW w:type="dxa" w:w="1040"/>
          </w:tcPr>
          <w:p>
            <w:pPr>
              <w:jc w:val="center"/>
            </w:pPr>
            <w:r>
              <w:rPr>
                <w:sz w:val="18"/>
              </w:rPr>
              <w:t>1.73</w:t>
            </w:r>
          </w:p>
        </w:tc>
        <w:tc>
          <w:tcPr>
            <w:tcW w:type="dxa" w:w="1040"/>
          </w:tcPr>
          <w:p>
            <w:pPr>
              <w:jc w:val="center"/>
            </w:pPr>
            <w:r>
              <w:rPr>
                <w:sz w:val="18"/>
              </w:rPr>
              <w:t>8.0%</w:t>
            </w:r>
          </w:p>
        </w:tc>
        <w:tc>
          <w:tcPr>
            <w:tcW w:type="dxa" w:w="1040"/>
          </w:tcPr>
          <w:p>
            <w:pPr>
              <w:jc w:val="center"/>
            </w:pPr>
            <w:r>
              <w:rPr>
                <w:sz w:val="18"/>
              </w:rPr>
              <w:t>14.1%</w:t>
            </w:r>
          </w:p>
        </w:tc>
        <w:tc>
          <w:tcPr>
            <w:tcW w:type="dxa" w:w="1040"/>
          </w:tcPr>
          <w:p>
            <w:pPr>
              <w:jc w:val="center"/>
            </w:pPr>
            <w:r>
              <w:rPr>
                <w:sz w:val="18"/>
              </w:rPr>
              <w:t>5.51</w:t>
            </w:r>
          </w:p>
        </w:tc>
        <w:tc>
          <w:tcPr>
            <w:tcW w:type="dxa" w:w="1040"/>
          </w:tcPr>
          <w:p>
            <w:pPr>
              <w:jc w:val="center"/>
            </w:pPr>
            <w:r>
              <w:rPr>
                <w:sz w:val="18"/>
              </w:rPr>
              <w:t>$12,488</w:t>
            </w:r>
          </w:p>
        </w:tc>
        <w:tc>
          <w:tcPr>
            <w:tcW w:type="dxa" w:w="1040"/>
          </w:tcPr>
          <w:p>
            <w:pPr>
              <w:jc w:val="center"/>
            </w:pPr>
            <w:r>
              <w:rPr>
                <w:sz w:val="18"/>
              </w:rPr>
              <w:t>$632</w:t>
            </w:r>
          </w:p>
        </w:tc>
      </w:tr>
      <w:tr>
        <w:tc>
          <w:tcPr>
            <w:tcW w:type="dxa" w:w="1040"/>
            <w:shd w:val="clear" w:color="auto" w:fill="F5F5F5"/>
          </w:tcPr>
          <w:p>
            <w:pPr>
              <w:jc w:val="center"/>
            </w:pPr>
            <w:r>
              <w:rPr>
                <w:sz w:val="18"/>
              </w:rPr>
              <w:t>YouTube</w:t>
            </w:r>
          </w:p>
        </w:tc>
        <w:tc>
          <w:tcPr>
            <w:tcW w:type="dxa" w:w="1040"/>
            <w:shd w:val="clear" w:color="auto" w:fill="F5F5F5"/>
          </w:tcPr>
          <w:p>
            <w:pPr>
              <w:jc w:val="center"/>
            </w:pPr>
            <w:r>
              <w:rPr>
                <w:sz w:val="18"/>
              </w:rPr>
              <w:t>33,392</w:t>
            </w:r>
          </w:p>
        </w:tc>
        <w:tc>
          <w:tcPr>
            <w:tcW w:type="dxa" w:w="1040"/>
            <w:shd w:val="clear" w:color="auto" w:fill="F5F5F5"/>
          </w:tcPr>
          <w:p>
            <w:pPr>
              <w:jc w:val="center"/>
            </w:pPr>
            <w:r>
              <w:rPr>
                <w:sz w:val="18"/>
              </w:rPr>
              <w:t>4.99</w:t>
            </w:r>
          </w:p>
        </w:tc>
        <w:tc>
          <w:tcPr>
            <w:tcW w:type="dxa" w:w="1040"/>
            <w:shd w:val="clear" w:color="auto" w:fill="F5F5F5"/>
          </w:tcPr>
          <w:p>
            <w:pPr>
              <w:jc w:val="center"/>
            </w:pPr>
            <w:r>
              <w:rPr>
                <w:sz w:val="18"/>
              </w:rPr>
              <w:t>1.73</w:t>
            </w:r>
          </w:p>
        </w:tc>
        <w:tc>
          <w:tcPr>
            <w:tcW w:type="dxa" w:w="1040"/>
            <w:shd w:val="clear" w:color="auto" w:fill="F5F5F5"/>
          </w:tcPr>
          <w:p>
            <w:pPr>
              <w:jc w:val="center"/>
            </w:pPr>
            <w:r>
              <w:rPr>
                <w:sz w:val="18"/>
              </w:rPr>
              <w:t>8.0%</w:t>
            </w:r>
          </w:p>
        </w:tc>
        <w:tc>
          <w:tcPr>
            <w:tcW w:type="dxa" w:w="1040"/>
            <w:shd w:val="clear" w:color="auto" w:fill="F5F5F5"/>
          </w:tcPr>
          <w:p>
            <w:pPr>
              <w:jc w:val="center"/>
            </w:pPr>
            <w:r>
              <w:rPr>
                <w:sz w:val="18"/>
              </w:rPr>
              <w:t>14.1%</w:t>
            </w:r>
          </w:p>
        </w:tc>
        <w:tc>
          <w:tcPr>
            <w:tcW w:type="dxa" w:w="1040"/>
            <w:shd w:val="clear" w:color="auto" w:fill="F5F5F5"/>
          </w:tcPr>
          <w:p>
            <w:pPr>
              <w:jc w:val="center"/>
            </w:pPr>
            <w:r>
              <w:rPr>
                <w:sz w:val="18"/>
              </w:rPr>
              <w:t>5.48</w:t>
            </w:r>
          </w:p>
        </w:tc>
        <w:tc>
          <w:tcPr>
            <w:tcW w:type="dxa" w:w="1040"/>
            <w:shd w:val="clear" w:color="auto" w:fill="F5F5F5"/>
          </w:tcPr>
          <w:p>
            <w:pPr>
              <w:jc w:val="center"/>
            </w:pPr>
            <w:r>
              <w:rPr>
                <w:sz w:val="18"/>
              </w:rPr>
              <w:t>$12,481</w:t>
            </w:r>
          </w:p>
        </w:tc>
        <w:tc>
          <w:tcPr>
            <w:tcW w:type="dxa" w:w="1040"/>
            <w:shd w:val="clear" w:color="auto" w:fill="F5F5F5"/>
          </w:tcPr>
          <w:p>
            <w:pPr>
              <w:jc w:val="center"/>
            </w:pPr>
            <w:r>
              <w:rPr>
                <w:sz w:val="18"/>
              </w:rPr>
              <w:t>$636</w:t>
            </w:r>
          </w:p>
        </w:tc>
      </w:tr>
    </w:tbl>
    <w:p/>
    <w:p>
      <w:pPr>
        <w:pStyle w:val="Heading2"/>
      </w:pPr>
      <w:r>
        <w:rPr>
          <w:color w:val="1A1A2E"/>
        </w:rPr>
        <w:t>B. Technical Notes</w:t>
      </w:r>
    </w:p>
    <w:p>
      <w:pPr>
        <w:spacing w:after="160" w:line="276" w:lineRule="auto"/>
      </w:pPr>
      <w:r>
        <w:t>Tools &amp; Libraries: Python 3.14, pandas 3.0, NumPy 2.4, matplotlib 3.10, seaborn 0.13, scikit-learn (Random Forest Regressor), scipy (ANOVA / statistical testing), python-docx 1.2</w:t>
      </w:r>
    </w:p>
    <w:p>
      <w:pPr>
        <w:spacing w:after="160" w:line="276" w:lineRule="auto"/>
      </w:pPr>
      <w:r>
        <w:t>Data Source: Kaggle — Marketing Campaign Performance Dataset (CC0 License, 200,000 records)</w:t>
      </w:r>
    </w:p>
    <w:p>
      <w:pPr>
        <w:spacing w:after="160" w:line="276" w:lineRule="auto"/>
      </w:pPr>
      <w:r>
        <w:t>All figures generated at 150 DPI. Statistical aggregations use arithmetic means unless otherwise noted.</w:t>
      </w:r>
    </w:p>
    <w:p>
      <w:pPr>
        <w:pStyle w:val="Heading2"/>
      </w:pPr>
      <w:r>
        <w:rPr>
          <w:color w:val="1A1A2E"/>
        </w:rPr>
        <w:t>C. Glossary</w:t>
      </w:r>
    </w:p>
    <w:p>
      <w:r>
        <w:rPr>
          <w:b/>
        </w:rPr>
        <w:t xml:space="preserve">ROI: </w:t>
      </w:r>
      <w:r>
        <w:t>Return on Investment — the ratio of net profit to total investment cost.</w:t>
      </w:r>
    </w:p>
    <w:p>
      <w:r>
        <w:rPr>
          <w:b/>
        </w:rPr>
        <w:t xml:space="preserve">CTR: </w:t>
      </w:r>
      <w:r>
        <w:t>Click-Through Rate — the percentage of impressions that resulted in a click.</w:t>
      </w:r>
    </w:p>
    <w:p>
      <w:r>
        <w:rPr>
          <w:b/>
        </w:rPr>
        <w:t xml:space="preserve">CPA: </w:t>
      </w:r>
      <w:r>
        <w:t>Cost Per Acquisition — the average cost to acquire one converting customer.</w:t>
      </w:r>
    </w:p>
    <w:p>
      <w:r>
        <w:rPr>
          <w:b/>
        </w:rPr>
        <w:t xml:space="preserve">CR: </w:t>
      </w:r>
      <w:r>
        <w:t>Conversion Rate — the percentage of clicks that resulted in a desired action.</w:t>
      </w:r>
    </w:p>
    <w:p>
      <w:r>
        <w:rPr>
          <w:b/>
        </w:rPr>
        <w:t xml:space="preserve">Engagement Score: </w:t>
      </w:r>
      <w:r>
        <w:t>A 1-10 rating measuring the depth and quality of user interaction with campaign content.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