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cpxxefjrxa4d"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Ajustes generales:</w:t>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Cambio de metodología tradicional a metodología ágil</w:t>
            </w:r>
          </w:p>
          <w:p w:rsidR="00000000" w:rsidDel="00000000" w:rsidP="00000000" w:rsidRDefault="00000000" w:rsidRPr="00000000" w14:paraId="00000012">
            <w:pPr>
              <w:jc w:val="both"/>
              <w:rPr>
                <w:i w:val="1"/>
                <w:iCs w:val="1"/>
                <w:color w:val="548dd4"/>
                <w:sz w:val="20"/>
                <w:szCs w:val="20"/>
              </w:rPr>
            </w:pPr>
            <w:r w:rsidDel="00000000" w:rsidR="00000000" w:rsidRPr="00000000">
              <w:rPr>
                <w:i w:val="1"/>
                <w:iCs w:val="1"/>
                <w:color w:val="548dd4"/>
                <w:sz w:val="20"/>
                <w:szCs w:val="20"/>
                <w:rtl w:val="0"/>
              </w:rPr>
              <w:t xml:space="preserve">cambio en la problemática del proyecto</w:t>
            </w:r>
          </w:p>
          <w:p w:rsidR="00000000" w:rsidDel="00000000" w:rsidP="00000000" w:rsidRDefault="00000000" w:rsidRPr="00000000" w14:paraId="00000013">
            <w:pPr>
              <w:jc w:val="both"/>
              <w:rPr>
                <w:i w:val="1"/>
                <w:iCs w:val="1"/>
                <w:color w:val="548dd4"/>
                <w:sz w:val="20"/>
                <w:szCs w:val="20"/>
              </w:rPr>
            </w:pPr>
            <w:r w:rsidDel="00000000" w:rsidR="00000000" w:rsidRPr="00000000">
              <w:rPr>
                <w:i w:val="1"/>
                <w:iCs w:val="1"/>
                <w:color w:val="548dd4"/>
                <w:sz w:val="20"/>
                <w:szCs w:val="20"/>
                <w:rtl w:val="0"/>
              </w:rPr>
              <w:t xml:space="preserve">Avances en los documentos principales enfocados en la administración del proyecto</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Cambio en la metodología tradicional elegida en la fase 1 se cambia la metodología del proyecto a un desarrollo ágil 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8">
            <w:pPr>
              <w:rPr>
                <w:color w:val="1f3864"/>
              </w:rPr>
            </w:pPr>
            <w:r w:rsidDel="00000000" w:rsidR="00000000" w:rsidRPr="00000000">
              <w:rPr>
                <w:rtl w:val="0"/>
              </w:rPr>
            </w:r>
          </w:p>
          <w:p w:rsidR="00000000" w:rsidDel="00000000" w:rsidP="00000000" w:rsidRDefault="00000000" w:rsidRPr="00000000" w14:paraId="00000019">
            <w:pPr>
              <w:rPr>
                <w:color w:val="1f3864"/>
              </w:rPr>
            </w:pPr>
            <w:r w:rsidDel="00000000" w:rsidR="00000000" w:rsidRPr="00000000">
              <w:rPr>
                <w:rtl w:val="0"/>
              </w:rPr>
            </w:r>
          </w:p>
          <w:p w:rsidR="00000000" w:rsidDel="00000000" w:rsidP="00000000" w:rsidRDefault="00000000" w:rsidRPr="00000000" w14:paraId="0000001A">
            <w:pPr>
              <w:rPr>
                <w:color w:val="1f3864"/>
              </w:rPr>
            </w:pPr>
            <w:r w:rsidDel="00000000" w:rsidR="00000000" w:rsidRPr="00000000">
              <w:rPr>
                <w:rtl w:val="0"/>
              </w:rPr>
            </w:r>
          </w:p>
          <w:p w:rsidR="00000000" w:rsidDel="00000000" w:rsidP="00000000" w:rsidRDefault="00000000" w:rsidRPr="00000000" w14:paraId="0000001B">
            <w:pPr>
              <w:rPr>
                <w:color w:val="1f3864"/>
              </w:rPr>
            </w:pPr>
            <w:r w:rsidDel="00000000" w:rsidR="00000000" w:rsidRPr="00000000">
              <w:rPr>
                <w:rtl w:val="0"/>
              </w:rPr>
            </w:r>
          </w:p>
          <w:p w:rsidR="00000000" w:rsidDel="00000000" w:rsidP="00000000" w:rsidRDefault="00000000" w:rsidRPr="00000000" w14:paraId="0000001C">
            <w:pPr>
              <w:rPr>
                <w:color w:val="1f3864"/>
              </w:rPr>
            </w:pPr>
            <w:r w:rsidDel="00000000" w:rsidR="00000000" w:rsidRPr="00000000">
              <w:rPr>
                <w:rtl w:val="0"/>
              </w:rPr>
            </w:r>
          </w:p>
          <w:p w:rsidR="00000000" w:rsidDel="00000000" w:rsidP="00000000" w:rsidRDefault="00000000" w:rsidRPr="00000000" w14:paraId="0000001D">
            <w:pPr>
              <w:rPr>
                <w:color w:val="1f3864"/>
              </w:rPr>
            </w:pPr>
            <w:r w:rsidDel="00000000" w:rsidR="00000000" w:rsidRPr="00000000">
              <w:rPr>
                <w:rtl w:val="0"/>
              </w:rPr>
            </w:r>
          </w:p>
          <w:p w:rsidR="00000000" w:rsidDel="00000000" w:rsidP="00000000" w:rsidRDefault="00000000" w:rsidRPr="00000000" w14:paraId="0000001E">
            <w:pPr>
              <w:rPr>
                <w:color w:val="1f3864"/>
              </w:rPr>
            </w:pPr>
            <w:r w:rsidDel="00000000" w:rsidR="00000000" w:rsidRPr="00000000">
              <w:rPr>
                <w:rtl w:val="0"/>
              </w:rPr>
            </w:r>
          </w:p>
          <w:p w:rsidR="00000000" w:rsidDel="00000000" w:rsidP="00000000" w:rsidRDefault="00000000" w:rsidRPr="00000000" w14:paraId="0000001F">
            <w:pPr>
              <w:rPr>
                <w:color w:val="1f3864"/>
              </w:rPr>
            </w:pPr>
            <w:r w:rsidDel="00000000" w:rsidR="00000000" w:rsidRPr="00000000">
              <w:rPr>
                <w:rtl w:val="0"/>
              </w:rPr>
            </w:r>
          </w:p>
          <w:p w:rsidR="00000000" w:rsidDel="00000000" w:rsidP="00000000" w:rsidRDefault="00000000" w:rsidRPr="00000000" w14:paraId="00000020">
            <w:pPr>
              <w:rPr>
                <w:color w:val="1f3864"/>
              </w:rPr>
            </w:pPr>
            <w:r w:rsidDel="00000000" w:rsidR="00000000" w:rsidRPr="00000000">
              <w:rPr>
                <w:rtl w:val="0"/>
              </w:rPr>
            </w:r>
          </w:p>
          <w:p w:rsidR="00000000" w:rsidDel="00000000" w:rsidP="00000000" w:rsidRDefault="00000000" w:rsidRPr="00000000" w14:paraId="00000021">
            <w:pPr>
              <w:rPr>
                <w:color w:val="1f3864"/>
              </w:rPr>
            </w:pPr>
            <w:r w:rsidDel="00000000" w:rsidR="00000000" w:rsidRPr="00000000">
              <w:rPr>
                <w:rtl w:val="0"/>
              </w:rPr>
            </w:r>
          </w:p>
          <w:p w:rsidR="00000000" w:rsidDel="00000000" w:rsidP="00000000" w:rsidRDefault="00000000" w:rsidRPr="00000000" w14:paraId="00000022">
            <w:pPr>
              <w:rPr>
                <w:color w:val="1f3864"/>
              </w:rPr>
            </w:pPr>
            <w:r w:rsidDel="00000000" w:rsidR="00000000" w:rsidRPr="00000000">
              <w:rPr>
                <w:rtl w:val="0"/>
              </w:rPr>
            </w:r>
          </w:p>
          <w:p w:rsidR="00000000" w:rsidDel="00000000" w:rsidP="00000000" w:rsidRDefault="00000000" w:rsidRPr="00000000" w14:paraId="00000023">
            <w:pPr>
              <w:rPr>
                <w:color w:val="1f3864"/>
              </w:rPr>
            </w:pPr>
            <w:r w:rsidDel="00000000" w:rsidR="00000000" w:rsidRPr="00000000">
              <w:rPr>
                <w:rtl w:val="0"/>
              </w:rPr>
            </w:r>
          </w:p>
          <w:p w:rsidR="00000000" w:rsidDel="00000000" w:rsidP="00000000" w:rsidRDefault="00000000" w:rsidRPr="00000000" w14:paraId="00000024">
            <w:pPr>
              <w:rPr>
                <w:color w:val="1f3864"/>
              </w:rPr>
            </w:pPr>
            <w:r w:rsidDel="00000000" w:rsidR="00000000" w:rsidRPr="00000000">
              <w:rPr>
                <w:rtl w:val="0"/>
              </w:rPr>
            </w:r>
          </w:p>
          <w:p w:rsidR="00000000" w:rsidDel="00000000" w:rsidP="00000000" w:rsidRDefault="00000000" w:rsidRPr="00000000" w14:paraId="00000025">
            <w:pPr>
              <w:rPr>
                <w:color w:val="1f3864"/>
              </w:rPr>
            </w:pPr>
            <w:r w:rsidDel="00000000" w:rsidR="00000000" w:rsidRPr="00000000">
              <w:rPr>
                <w:rtl w:val="0"/>
              </w:rPr>
            </w:r>
          </w:p>
          <w:p w:rsidR="00000000" w:rsidDel="00000000" w:rsidP="00000000" w:rsidRDefault="00000000" w:rsidRPr="00000000" w14:paraId="00000026">
            <w:pPr>
              <w:rPr>
                <w:color w:val="1f3864"/>
              </w:rPr>
            </w:pPr>
            <w:r w:rsidDel="00000000" w:rsidR="00000000" w:rsidRPr="00000000">
              <w:rPr>
                <w:rtl w:val="0"/>
              </w:rPr>
            </w:r>
          </w:p>
          <w:p w:rsidR="00000000" w:rsidDel="00000000" w:rsidP="00000000" w:rsidRDefault="00000000" w:rsidRPr="00000000" w14:paraId="00000027">
            <w:pPr>
              <w:rPr>
                <w:color w:val="1f3864"/>
              </w:rPr>
            </w:pPr>
            <w:r w:rsidDel="00000000" w:rsidR="00000000" w:rsidRPr="00000000">
              <w:rPr>
                <w:rtl w:val="0"/>
              </w:rPr>
            </w:r>
          </w:p>
          <w:p w:rsidR="00000000" w:rsidDel="00000000" w:rsidP="00000000" w:rsidRDefault="00000000" w:rsidRPr="00000000" w14:paraId="00000028">
            <w:pPr>
              <w:rPr>
                <w:color w:val="1f3864"/>
              </w:rPr>
            </w:pPr>
            <w:r w:rsidDel="00000000" w:rsidR="00000000" w:rsidRPr="00000000">
              <w:rPr>
                <w:rtl w:val="0"/>
              </w:rPr>
            </w:r>
          </w:p>
          <w:p w:rsidR="00000000" w:rsidDel="00000000" w:rsidP="00000000" w:rsidRDefault="00000000" w:rsidRPr="00000000" w14:paraId="00000029">
            <w:pPr>
              <w:rPr>
                <w:color w:val="1f3864"/>
              </w:rPr>
            </w:pPr>
            <w:r w:rsidDel="00000000" w:rsidR="00000000" w:rsidRPr="00000000">
              <w:rPr>
                <w:rtl w:val="0"/>
              </w:rPr>
            </w:r>
          </w:p>
          <w:p w:rsidR="00000000" w:rsidDel="00000000" w:rsidP="00000000" w:rsidRDefault="00000000" w:rsidRPr="00000000" w14:paraId="0000002A">
            <w:pPr>
              <w:rPr>
                <w:color w:val="1f3864"/>
              </w:rPr>
            </w:pPr>
            <w:r w:rsidDel="00000000" w:rsidR="00000000" w:rsidRPr="00000000">
              <w:rPr>
                <w:rtl w:val="0"/>
              </w:rPr>
            </w:r>
          </w:p>
          <w:p w:rsidR="00000000" w:rsidDel="00000000" w:rsidP="00000000" w:rsidRDefault="00000000" w:rsidRPr="00000000" w14:paraId="0000002B">
            <w:pPr>
              <w:rPr>
                <w:color w:val="1f3864"/>
              </w:rPr>
            </w:pPr>
            <w:r w:rsidDel="00000000" w:rsidR="00000000" w:rsidRPr="00000000">
              <w:rPr>
                <w:rtl w:val="0"/>
              </w:rPr>
            </w:r>
          </w:p>
          <w:p w:rsidR="00000000" w:rsidDel="00000000" w:rsidP="00000000" w:rsidRDefault="00000000" w:rsidRPr="00000000" w14:paraId="0000002C">
            <w:pPr>
              <w:rPr>
                <w:color w:val="1f3864"/>
              </w:rPr>
            </w:pPr>
            <w:r w:rsidDel="00000000" w:rsidR="00000000" w:rsidRPr="00000000">
              <w:rPr>
                <w:rtl w:val="0"/>
              </w:rPr>
            </w:r>
          </w:p>
          <w:p w:rsidR="00000000" w:rsidDel="00000000" w:rsidP="00000000" w:rsidRDefault="00000000" w:rsidRPr="00000000" w14:paraId="0000002D">
            <w:pPr>
              <w:rPr>
                <w:color w:val="1f3864"/>
              </w:rPr>
            </w:pPr>
            <w:r w:rsidDel="00000000" w:rsidR="00000000" w:rsidRPr="00000000">
              <w:rPr>
                <w:rtl w:val="0"/>
              </w:rPr>
            </w:r>
          </w:p>
          <w:p w:rsidR="00000000" w:rsidDel="00000000" w:rsidP="00000000" w:rsidRDefault="00000000" w:rsidRPr="00000000" w14:paraId="0000002E">
            <w:pPr>
              <w:rPr>
                <w:color w:val="1f3864"/>
              </w:rPr>
            </w:pPr>
            <w:r w:rsidDel="00000000" w:rsidR="00000000" w:rsidRPr="00000000">
              <w:rPr>
                <w:rtl w:val="0"/>
              </w:rPr>
            </w:r>
          </w:p>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Los documentos de arquitectura de software del proyecto, el sprint planning realizado en miro, la planilla de requerimientos funcionales y no funcionales el product backlog. Son evidencias que utilizamos para demostrar el resguardo de la calidad del proyecto</w:t>
            </w:r>
          </w:p>
        </w:tc>
      </w:tr>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6">
            <w:pPr>
              <w:jc w:val="both"/>
              <w:rPr>
                <w:b w:val="1"/>
                <w:bCs w:val="1"/>
                <w:sz w:val="18"/>
                <w:szCs w:val="18"/>
              </w:rPr>
            </w:pPr>
            <w:r w:rsidDel="00000000" w:rsidR="00000000" w:rsidRPr="00000000">
              <w:rPr>
                <w:b w:val="1"/>
                <w:bCs w:val="1"/>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Planificación y requerimientos</w:t>
            </w:r>
            <w:r w:rsidDel="00000000" w:rsidR="00000000" w:rsidRPr="00000000">
              <w:rPr>
                <w:rtl w:val="0"/>
              </w:rPr>
            </w:r>
          </w:p>
        </w:tc>
        <w:tc>
          <w:tcPr/>
          <w:p w:rsidR="00000000" w:rsidDel="00000000" w:rsidP="00000000" w:rsidRDefault="00000000" w:rsidRPr="00000000" w14:paraId="00000048">
            <w:pPr>
              <w:jc w:val="both"/>
              <w:rPr>
                <w:b w:val="1"/>
                <w:bCs w:val="1"/>
                <w:sz w:val="18"/>
                <w:szCs w:val="18"/>
              </w:rPr>
            </w:pPr>
            <w:r w:rsidDel="00000000" w:rsidR="00000000" w:rsidRPr="00000000">
              <w:rPr>
                <w:i w:val="1"/>
                <w:iCs w:val="1"/>
                <w:color w:val="548dd4"/>
                <w:sz w:val="18"/>
                <w:szCs w:val="18"/>
                <w:rtl w:val="0"/>
              </w:rPr>
              <w:t xml:space="preserve">Miro, Docs</w:t>
            </w:r>
            <w:r w:rsidDel="00000000" w:rsidR="00000000" w:rsidRPr="00000000">
              <w:rPr>
                <w:rtl w:val="0"/>
              </w:rPr>
            </w:r>
          </w:p>
        </w:tc>
        <w:tc>
          <w:tcPr/>
          <w:p w:rsidR="00000000" w:rsidDel="00000000" w:rsidP="00000000" w:rsidRDefault="00000000" w:rsidRPr="00000000" w14:paraId="00000049">
            <w:pPr>
              <w:jc w:val="both"/>
              <w:rPr>
                <w:b w:val="1"/>
                <w:bCs w:val="1"/>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p w:rsidR="00000000" w:rsidDel="00000000" w:rsidP="00000000" w:rsidRDefault="00000000" w:rsidRPr="00000000" w14:paraId="0000004A">
            <w:pPr>
              <w:jc w:val="both"/>
              <w:rPr>
                <w:i w:val="1"/>
                <w:iCs w:val="1"/>
                <w:color w:val="548dd4"/>
                <w:sz w:val="18"/>
                <w:szCs w:val="18"/>
              </w:rPr>
            </w:pPr>
            <w:r w:rsidDel="00000000" w:rsidR="00000000" w:rsidRPr="00000000">
              <w:rPr>
                <w:i w:val="1"/>
                <w:iCs w:val="1"/>
                <w:color w:val="548dd4"/>
                <w:sz w:val="18"/>
                <w:szCs w:val="18"/>
                <w:rtl w:val="0"/>
              </w:rPr>
              <w:t xml:space="preserve">Ignacio Pizarro</w:t>
            </w:r>
          </w:p>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/Diego Salas</w:t>
            </w:r>
          </w:p>
        </w:tc>
        <w:tc>
          <w:tcPr/>
          <w:p w:rsidR="00000000" w:rsidDel="00000000" w:rsidP="00000000" w:rsidRDefault="00000000" w:rsidRPr="00000000" w14:paraId="0000004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Comunicación activa con el cliente</w:t>
            </w: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i w:val="1"/>
                <w:iCs w:val="1"/>
                <w:color w:val="c00000"/>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Cambios en la metodología de trabajo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F">
            <w:pPr>
              <w:jc w:val="both"/>
              <w:rPr>
                <w:b w:val="1"/>
                <w:bCs w:val="1"/>
                <w:sz w:val="18"/>
                <w:szCs w:val="18"/>
              </w:rPr>
            </w:pPr>
            <w:r w:rsidDel="00000000" w:rsidR="00000000" w:rsidRPr="00000000">
              <w:rPr>
                <w:b w:val="1"/>
                <w:bCs w:val="1"/>
                <w:sz w:val="18"/>
                <w:szCs w:val="18"/>
                <w:rtl w:val="0"/>
              </w:rPr>
              <w:t xml:space="preserve">Construir modelos de datos</w:t>
            </w:r>
          </w:p>
        </w:tc>
        <w:tc>
          <w:tcPr/>
          <w:p w:rsidR="00000000" w:rsidDel="00000000" w:rsidP="00000000" w:rsidRDefault="00000000" w:rsidRPr="00000000" w14:paraId="0000005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diagrama entidad-relación y despliegue</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MySQL Workbench</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Rodrigo Maira/Tomas Escalona</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Uso de BD relacional requiere precisión en PK/FK</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7">
            <w:pPr>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Programación backend (Django)</w:t>
            </w:r>
          </w:p>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Módulos, usuarios y pacientes</w:t>
            </w:r>
          </w:p>
        </w:tc>
        <w:tc>
          <w:tcPr/>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VS Code, Git, Github</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Tomas Escalona/Rodrigo Maira</w:t>
            </w: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para ocultar credenciales en Repo publico</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0">
            <w:pPr>
              <w:jc w:val="both"/>
              <w:rPr>
                <w:b w:val="1"/>
                <w:bCs w:val="1"/>
                <w:sz w:val="18"/>
                <w:szCs w:val="18"/>
              </w:rPr>
            </w:pPr>
            <w:r w:rsidDel="00000000" w:rsidR="00000000" w:rsidRPr="00000000">
              <w:rPr>
                <w:b w:val="1"/>
                <w:bCs w:val="1"/>
                <w:sz w:val="18"/>
                <w:szCs w:val="18"/>
                <w:rtl w:val="0"/>
              </w:rPr>
              <w:t xml:space="preserve">Realizar pruebas de certificación</w:t>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pasarela de banco (transbank)</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SDK Transbank Python</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Diego Salas</w:t>
            </w: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Falta de credenciales de producción comerciales</w:t>
            </w: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Ajustada</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6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6D">
            <w:pPr>
              <w:rPr>
                <w:rFonts w:ascii="Calibri" w:cs="Calibri" w:eastAsia="Calibri" w:hAnsi="Calibri"/>
                <w:color w:val="1f3864"/>
              </w:rPr>
            </w:pPr>
            <w:r w:rsidDel="00000000" w:rsidR="00000000" w:rsidRPr="00000000">
              <w:rPr>
                <w:color w:val="1f3864"/>
                <w:rtl w:val="0"/>
              </w:rPr>
              <w:t xml:space="preserve">El cambio de metodología tras la retroalimentación en la fase 1 llevó a un cambio de productividad y esquema, aunque también redujo la cantidad de documentos necesarios y aumentar la eficacia y velocidad de trabajo del equipo permitiéndonos cumplir con las entregas previstas en nuestro roadmap</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c00000"/>
                <w:sz w:val="20"/>
                <w:szCs w:val="20"/>
              </w:rPr>
            </w:pPr>
            <w:r w:rsidDel="00000000" w:rsidR="00000000" w:rsidRPr="00000000">
              <w:rPr>
                <w:i w:val="1"/>
                <w:iCs w:val="1"/>
                <w:color w:val="c00000"/>
                <w:sz w:val="20"/>
                <w:szCs w:val="20"/>
                <w:rtl w:val="0"/>
              </w:rPr>
              <w:t xml:space="preserve">El cambio de metodología ágil nos permite delimitar de forma apropiada los requerimientos y recursos necesarios para no necesitar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7D">
            <w:pPr>
              <w:spacing w:after="0" w:line="300" w:lineRule="auto"/>
              <w:rPr>
                <w:rFonts w:ascii="Calibri" w:cs="Calibri" w:eastAsia="Calibri" w:hAnsi="Calibri"/>
                <w:i w:val="1"/>
                <w:iCs w:val="1"/>
                <w:color w:val="548dd4"/>
                <w:sz w:val="20"/>
                <w:szCs w:val="20"/>
              </w:rPr>
            </w:pPr>
            <w:r w:rsidDel="00000000" w:rsidR="00000000" w:rsidRPr="00000000">
              <w:rPr>
                <w:color w:val="334155"/>
                <w:sz w:val="24"/>
                <w:szCs w:val="24"/>
                <w:rtl w:val="0"/>
              </w:rPr>
              <w:t xml:space="preserve">El despliegue de pagos en ambiente de producción no se ha iniciado porque depende de la obtención de credenciales comerciales por parte de la clínica. Como estrategia para no afectar el proyecto APT, mantendremos todo el flujo de cobros 100% operativo en ambiente de pruebas (TEST), asegurando que se cumpla la validación técnica requerida.</w:t>
            </w: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5bH3DwIBtJYVt3aZuiiqeVF/sQ==">CgMxLjAyDmguY3B4eGVmanJ4YTRkOAByITFHZnRyQl83cXFvWm5aLUxqQUVEXzkxNzdBMkdEMnIxeg==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