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NEA Enlaces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Aplicaciones de Software, Gestión de Proyectos Informáticos y Arquitectura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Gestionar proyectos informáticos.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solución de software.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Construir modelos de datos.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Realizar pruebas de certificación y validación de procesos.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ourier New" w:cs="Courier New" w:eastAsia="Courier New" w:hAnsi="Courier New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busca solucionar la falta de una plataforma digital integral en "Centro Enlaces" (clínica privada especializada en neurología y psicología infantil), reemplazando los procesos manuales descentralizados. Esto es altamente relevante para el campo laboral ya que responde a la necesidad de transformación digital en la salud, alineándose con la ley 21.668 sobre interoperabilidad de fichas clínicas.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ind w:left="301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ourier New" w:cs="Courier New" w:eastAsia="Courier New" w:hAnsi="Courier New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situación se ubica en el sector de salud privada en Chile, impactando directamente al personal administrativo, especialistas de salud y a los pacientes/tutores. El valor aportado radica en centralizar la agenda médica y asegurar la trazabilidad de los historiales y diagnósticos, facilitando la coordinación y seguridad de la información.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e implementar un sistema de gestión clínica digital para gestionar, solicitar y administrar atenciones médicas de forma segura.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0" w:lineRule="auto"/>
              <w:ind w:left="720" w:hanging="360"/>
              <w:jc w:val="both"/>
              <w:rPr>
                <w:rFonts w:ascii="Noto Sans Symbols" w:cs="Noto Sans Symbols" w:eastAsia="Noto Sans Symbols" w:hAnsi="Noto Sans Symbol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un sistema de autenticación y control de acceso por roles (Administrador, Especialista, Recepcionista, Paciente/Tutor).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0" w:lineRule="auto"/>
              <w:ind w:left="720" w:hanging="360"/>
              <w:jc w:val="both"/>
              <w:rPr>
                <w:rFonts w:ascii="Noto Sans Symbols" w:cs="Noto Sans Symbols" w:eastAsia="Noto Sans Symbols" w:hAnsi="Noto Sans Symbol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un módulo de registro y gestión de pacientes y fichas clínicas.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0" w:lineRule="auto"/>
              <w:ind w:left="720" w:hanging="360"/>
              <w:jc w:val="both"/>
              <w:rPr>
                <w:rFonts w:ascii="Noto Sans Symbols" w:cs="Noto Sans Symbols" w:eastAsia="Noto Sans Symbols" w:hAnsi="Noto Sans Symbol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la gestión de atenciones clínicas y asociación de medicamentos.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after="0" w:lineRule="auto"/>
              <w:ind w:left="720" w:hanging="360"/>
              <w:jc w:val="both"/>
              <w:rPr>
                <w:rFonts w:ascii="Noto Sans Symbols" w:cs="Noto Sans Symbols" w:eastAsia="Noto Sans Symbols" w:hAnsi="Noto Sans Symbol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Validar el funcionamiento mediante pruebas de certificación y flujos de integración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lineRule="auto"/>
              <w:ind w:left="318" w:hanging="284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utilizó el marco de trabajo ágil Scrum. El proceso se llevó a cabo mediante iteraciones (sprints) cortas, dividiendo responsabilidades en roles claros (Product Owner, Scrum Master y Development Team).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ind w:left="318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318" w:hanging="284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Esta metodología fue altamente pertinente porque permitió adaptabilidad frente a los ajustes técnicos (como las limitaciones en integraciones de pago) y facilitó la entrega continua de valor al cliente basándose en la priorización de las historias de usuario más críticas para el negoci</w:t>
            </w:r>
          </w:p>
          <w:p w:rsidR="00000000" w:rsidDel="00000000" w:rsidP="00000000" w:rsidRDefault="00000000" w:rsidRPr="00000000" w14:paraId="0000002D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6564.000000000001" w:type="dxa"/>
              <w:jc w:val="left"/>
              <w:tblLayout w:type="fixed"/>
              <w:tblLook w:val="0400"/>
            </w:tblPr>
            <w:tblGrid>
              <w:gridCol w:w="1398"/>
              <w:gridCol w:w="5166"/>
              <w:tblGridChange w:id="0">
                <w:tblGrid>
                  <w:gridCol w:w="1398"/>
                  <w:gridCol w:w="51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8" w:val="single"/>
                    <w:bottom w:color="e2e8f0" w:space="0" w:sz="8" w:val="single"/>
                  </w:tcBorders>
                  <w:shd w:fill="ffffff" w:val="clear"/>
                  <w:tcMar>
                    <w:top w:w="120.0" w:type="dxa"/>
                    <w:left w:w="200.0" w:type="dxa"/>
                    <w:bottom w:w="120.0" w:type="dxa"/>
                    <w:right w:w="20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0" w:line="240" w:lineRule="auto"/>
                    <w:rPr>
                      <w:i w:val="1"/>
                      <w:iCs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70c0"/>
                      <w:sz w:val="18"/>
                      <w:szCs w:val="18"/>
                      <w:rtl w:val="0"/>
                    </w:rPr>
                    <w:t xml:space="preserve">Etapas</w:t>
                  </w:r>
                </w:p>
              </w:tc>
              <w:tc>
                <w:tcPr>
                  <w:tcBorders>
                    <w:top w:color="e2e8f0" w:space="0" w:sz="8" w:val="single"/>
                    <w:bottom w:color="e2e8f0" w:space="0" w:sz="8" w:val="single"/>
                  </w:tcBorders>
                  <w:shd w:fill="ffffff" w:val="clear"/>
                  <w:tcMar>
                    <w:top w:w="120.0" w:type="dxa"/>
                    <w:left w:w="200.0" w:type="dxa"/>
                    <w:bottom w:w="120.0" w:type="dxa"/>
                    <w:right w:w="20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0" w:line="240" w:lineRule="auto"/>
                    <w:rPr>
                      <w:i w:val="1"/>
                      <w:iCs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70c0"/>
                      <w:sz w:val="18"/>
                      <w:szCs w:val="18"/>
                      <w:rtl w:val="0"/>
                    </w:rPr>
                    <w:t xml:space="preserve">Levantamiento de requerimientos con el cliente, diseño del diagrama Entidad-Relación, desarrollo arquitectónico del monolito en Python/Django (MVT), construcción de interfaces web e integración de Webpay, y fases de prueba de software.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8" w:val="single"/>
                    <w:bottom w:color="e2e8f0" w:space="0" w:sz="8" w:val="single"/>
                  </w:tcBorders>
                  <w:shd w:fill="ffffff" w:val="clear"/>
                  <w:tcMar>
                    <w:top w:w="120.0" w:type="dxa"/>
                    <w:left w:w="200.0" w:type="dxa"/>
                    <w:bottom w:w="120.0" w:type="dxa"/>
                    <w:right w:w="200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0" w:line="240" w:lineRule="auto"/>
                    <w:rPr>
                      <w:i w:val="1"/>
                      <w:iCs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70c0"/>
                      <w:sz w:val="18"/>
                      <w:szCs w:val="18"/>
                      <w:rtl w:val="0"/>
                    </w:rPr>
                    <w:t xml:space="preserve">Facilitadores</w:t>
                  </w:r>
                </w:p>
              </w:tc>
              <w:tc>
                <w:tcPr>
                  <w:tcBorders>
                    <w:top w:color="e2e8f0" w:space="0" w:sz="8" w:val="single"/>
                    <w:bottom w:color="e2e8f0" w:space="0" w:sz="8" w:val="single"/>
                  </w:tcBorders>
                  <w:shd w:fill="ffffff" w:val="clear"/>
                  <w:tcMar>
                    <w:top w:w="120.0" w:type="dxa"/>
                    <w:left w:w="200.0" w:type="dxa"/>
                    <w:bottom w:w="120.0" w:type="dxa"/>
                    <w:right w:w="20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0" w:line="240" w:lineRule="auto"/>
                    <w:rPr>
                      <w:i w:val="1"/>
                      <w:iCs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70c0"/>
                      <w:sz w:val="18"/>
                      <w:szCs w:val="18"/>
                      <w:rtl w:val="0"/>
                    </w:rPr>
                    <w:t xml:space="preserve">El ecosistema de Python y el framework Django aceleraron el desarrollo base. El uso de SQLite como base de datos local agilizó las pruebas en los entornos individuales antes de consolidar en MySQL.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8" w:val="single"/>
                    <w:bottom w:color="e2e8f0" w:space="0" w:sz="8" w:val="single"/>
                  </w:tcBorders>
                  <w:shd w:fill="ffffff" w:val="clear"/>
                  <w:tcMar>
                    <w:top w:w="120.0" w:type="dxa"/>
                    <w:left w:w="200.0" w:type="dxa"/>
                    <w:bottom w:w="120.0" w:type="dxa"/>
                    <w:right w:w="200.0" w:type="dxa"/>
                  </w:tcMar>
                </w:tcPr>
                <w:p w:rsidR="00000000" w:rsidDel="00000000" w:rsidP="00000000" w:rsidRDefault="00000000" w:rsidRPr="00000000" w14:paraId="00000034">
                  <w:pPr>
                    <w:spacing w:after="0" w:line="240" w:lineRule="auto"/>
                    <w:rPr>
                      <w:i w:val="1"/>
                      <w:iCs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70c0"/>
                      <w:sz w:val="18"/>
                      <w:szCs w:val="18"/>
                      <w:rtl w:val="0"/>
                    </w:rPr>
                    <w:t xml:space="preserve">Dificultades</w:t>
                  </w:r>
                </w:p>
              </w:tc>
              <w:tc>
                <w:tcPr>
                  <w:tcBorders>
                    <w:top w:color="e2e8f0" w:space="0" w:sz="8" w:val="single"/>
                    <w:bottom w:color="e2e8f0" w:space="0" w:sz="8" w:val="single"/>
                  </w:tcBorders>
                  <w:shd w:fill="ffffff" w:val="clear"/>
                  <w:tcMar>
                    <w:top w:w="120.0" w:type="dxa"/>
                    <w:left w:w="200.0" w:type="dxa"/>
                    <w:bottom w:w="120.0" w:type="dxa"/>
                    <w:right w:w="200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after="0" w:line="240" w:lineRule="auto"/>
                    <w:rPr>
                      <w:i w:val="1"/>
                      <w:iCs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70c0"/>
                      <w:sz w:val="18"/>
                      <w:szCs w:val="18"/>
                      <w:rtl w:val="0"/>
                    </w:rPr>
                    <w:t xml:space="preserve">La configuración de un repositorio público en Git expuso riesgos de seguridad (credenciales), y la integración de pagos con Transbank carecía de credenciales comerciales de producción.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8" w:val="single"/>
                    <w:bottom w:color="e2e8f0" w:space="0" w:sz="8" w:val="single"/>
                  </w:tcBorders>
                  <w:shd w:fill="ffffff" w:val="clear"/>
                  <w:tcMar>
                    <w:top w:w="120.0" w:type="dxa"/>
                    <w:left w:w="200.0" w:type="dxa"/>
                    <w:bottom w:w="120.0" w:type="dxa"/>
                    <w:right w:w="200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0" w:line="240" w:lineRule="auto"/>
                    <w:rPr>
                      <w:i w:val="1"/>
                      <w:iCs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70c0"/>
                      <w:sz w:val="18"/>
                      <w:szCs w:val="18"/>
                      <w:rtl w:val="0"/>
                    </w:rPr>
                    <w:t xml:space="preserve">Ajustes realizados</w:t>
                  </w:r>
                </w:p>
              </w:tc>
              <w:tc>
                <w:tcPr>
                  <w:tcBorders>
                    <w:top w:color="e2e8f0" w:space="0" w:sz="8" w:val="single"/>
                    <w:bottom w:color="e2e8f0" w:space="0" w:sz="8" w:val="single"/>
                  </w:tcBorders>
                  <w:shd w:fill="ffffff" w:val="clear"/>
                  <w:tcMar>
                    <w:top w:w="120.0" w:type="dxa"/>
                    <w:left w:w="200.0" w:type="dxa"/>
                    <w:bottom w:w="120.0" w:type="dxa"/>
                    <w:right w:w="200.0" w:type="dxa"/>
                  </w:tcMar>
                </w:tcPr>
                <w:p w:rsidR="00000000" w:rsidDel="00000000" w:rsidP="00000000" w:rsidRDefault="00000000" w:rsidRPr="00000000" w14:paraId="00000037">
                  <w:pPr>
                    <w:spacing w:after="0" w:line="240" w:lineRule="auto"/>
                    <w:rPr>
                      <w:i w:val="1"/>
                      <w:iCs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70c0"/>
                      <w:sz w:val="18"/>
                      <w:szCs w:val="18"/>
                      <w:rtl w:val="0"/>
                    </w:rPr>
                    <w:t xml:space="preserve">Se implementó un estricto control de secretos mediante archivos .env y .gitignore. Se eliminaron del alcance funcionalidades de IA y la migración masiva de fichas antiguas para asegurar el cumplimiento del plazo de 3.5 meses. Los pagos se limitaron explícitamente al entorno de pruebas (TEST).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lineRule="auto"/>
              <w:ind w:left="314" w:hanging="284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Para que los demás puedan visualizar las etapas y el resultado, se adjuntan:</w:t>
            </w:r>
          </w:p>
          <w:p w:rsidR="00000000" w:rsidDel="00000000" w:rsidP="00000000" w:rsidRDefault="00000000" w:rsidRPr="00000000" w14:paraId="0000003B">
            <w:pPr>
              <w:spacing w:after="0" w:lineRule="auto"/>
              <w:ind w:left="314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lineRule="auto"/>
              <w:ind w:left="314" w:hanging="284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Documento de Arquitectura de Software (SAD):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Elaborado bajo el modelo 4+1 vistas.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0" w:lineRule="auto"/>
              <w:ind w:left="314" w:hanging="284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Planilla de gestión: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Control de planificación, registro de riesgos y presupuesto consolidado del proyecto.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lineRule="auto"/>
              <w:ind w:left="314" w:hanging="284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Repositorio de control de versiones: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Historial en Git/GitHub que evidencia el trabajo equitativo mediante trazabilidad de commits.</w:t>
            </w:r>
          </w:p>
          <w:p w:rsidR="00000000" w:rsidDel="00000000" w:rsidP="00000000" w:rsidRDefault="00000000" w:rsidRPr="00000000" w14:paraId="0000003F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Sistema operativo y modelo BD: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Interfaz funcional del portal web operativo y el diagrama relacional de la base de datos MySQL.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lineRule="auto"/>
              <w:ind w:left="314" w:hanging="284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desarrollo de este Proyecto APT ha profundizado considerablemente nuestro interés en la arquitectura backend segura y en el modelado robusto de datos (especialmente en sectores críticos como la salud). Las dificultades superadas en el control de acceso y las integraciones de API reafirmaron nuestra vocación por el desarrollo de software escalable.</w:t>
            </w:r>
          </w:p>
          <w:p w:rsidR="00000000" w:rsidDel="00000000" w:rsidP="00000000" w:rsidRDefault="00000000" w:rsidRPr="00000000" w14:paraId="00000042">
            <w:pPr>
              <w:spacing w:after="0" w:lineRule="auto"/>
              <w:ind w:left="314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lineRule="auto"/>
              <w:ind w:left="314" w:hanging="284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Como proyección laboral, el equipo se visualiza asumiendo roles de liderazgo técnico, gestión ágil (Scrum) y desarrollo Full Stack/Backend en entornos corporativos, aplicando las mejores prácticas de la industria que logramos consolidar en este desafío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o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CkDkB0AN2MsLCzbPwYq4Qbtj3A==">CgMxLjA4AHIhMS15Skl2SXRXMzBiSzVMRlBoYVpyQ0pmYnhyaEZzcUtk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