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snapToGrid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Rui Chen</w:t>
      </w:r>
    </w:p>
    <w:p>
      <w:pPr>
        <w:spacing w:before="0" w:after="0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Add: Aidea Pharmaceutical Co., Ltd, Yangzhou, Jiangsu 225000, China</w:t>
      </w:r>
    </w:p>
    <w:p>
      <w:pPr>
        <w:spacing w:before="0" w:after="0"/>
        <w:tabs>
          <w:tab w:pos="10800" w:val="right"/>
        </w:tabs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Tel: +86 178 6297 0928 | Email: chenrui.cpu@gmail.com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rechain-cr.github.io</w:t>
      </w:r>
    </w:p>
    <w:p>
      <w:pPr>
        <w:spacing w:before="100" w:after="60"/>
        <w:snapToGrid w:val="0"/>
        <w:pBdr>
          <w:bottom w:val="single" w:sz="4" w:space="1" w:color="auto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RESEARCH INTERESTS</w:t>
      </w:r>
    </w:p>
    <w:p>
      <w:pPr>
        <w:spacing w:before="0" w:after="0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Medicinal chemist combining structure-based design with synthesis and process development, with three years of industrial experience in antiviral drug discovery. That experience built the toolkit modern medicinal chemistry programs require: complex multistep synthesis, conjugate and linker construction, and developability judgment (prodrugs, solid-form control, freedom-to-operate).</w:t>
      </w:r>
    </w:p>
    <w:p>
      <w:pPr>
        <w:spacing w:before="100" w:after="60"/>
        <w:snapToGrid w:val="0"/>
        <w:pBdr>
          <w:bottom w:val="single" w:sz="4" w:space="1" w:color="auto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EDUCATION</w:t>
      </w:r>
    </w:p>
    <w:p>
      <w:pPr>
        <w:spacing w:before="0" w:after="0"/>
        <w:tabs>
          <w:tab w:pos="10800" w:val="right"/>
        </w:tabs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China Pharmaceutical University (CPU)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Sep. 2020 – Jun. 2023</w:t>
      </w:r>
    </w:p>
    <w:p>
      <w:pPr>
        <w:spacing w:before="0" w:after="0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M.Sc. in Pharmacy, GPA: 4.00 / 4.00 (88.54/100.00), Top 10% (Ranked 8/81)</w:t>
      </w:r>
    </w:p>
    <w:p>
      <w:pPr>
        <w:spacing w:before="0" w:after="0"/>
        <w:tabs>
          <w:tab w:pos="10800" w:val="right"/>
        </w:tabs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Shandong University of Traditional Chinese Medicine (SDUTCM)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Sep. 2016 – Jun. 2020</w:t>
      </w:r>
    </w:p>
    <w:p>
      <w:pPr>
        <w:spacing w:before="0" w:after="0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B.Sc. in Pharmaceutical Engineering, GPA: 82.48/100, Top 3% (Ranked 7/247)</w:t>
      </w:r>
    </w:p>
    <w:p>
      <w:pPr>
        <w:spacing w:before="100" w:after="60"/>
        <w:snapToGrid w:val="0"/>
        <w:pBdr>
          <w:bottom w:val="single" w:sz="4" w:space="1" w:color="auto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PUBLICATIONS</w:t>
      </w:r>
    </w:p>
    <w:p>
      <w:pPr>
        <w:spacing w:before="0" w:after="0"/>
        <w:snapToGrid w:val="0"/>
        <w:ind w:left="284" w:hanging="284"/>
      </w:pPr>
      <w:r>
        <w:rPr>
          <w:rFonts w:ascii="Times New Roman" w:hAnsi="Times New Roman" w:eastAsia="Times New Roman" w:cs="Times New Roman"/>
          <w:b w:val="0"/>
          <w:i/>
          <w:color w:val="000000"/>
          <w:sz w:val="20"/>
        </w:rPr>
        <w:t>6 published papers, including 1 co-first author (Eur. J. Med. Chem.); 1 first-author manuscript in preparation.</w:t>
      </w:r>
    </w:p>
    <w:p>
      <w:pPr>
        <w:spacing w:before="0" w:after="0"/>
        <w:snapToGrid w:val="0"/>
        <w:ind w:left="284" w:hanging="284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Hu, T.¹; Huang, J.¹; Chen, R.¹; Zhang, H.¹; Liu, M.¹; Wang, R.¹; Zhou, W.¹; Huang, D.; Cao, M.; Li, D.; Li, Z.; Wu, H.; Bian, J. Discovery of CLKs Inhibitors for the Treatment of Non-Small Cell Lung Cancer. Eur. J. Med. Chem. 2024, 280, 116952. doi: 10.1016/j.ejmech.2024.116952 (Co-first author, ranked 3rd of six)</w:t>
      </w:r>
    </w:p>
    <w:p>
      <w:pPr>
        <w:spacing w:before="0" w:after="0"/>
        <w:snapToGrid w:val="0"/>
        <w:ind w:left="284" w:hanging="284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Zhou, L.; Yu, B.; Gao, M.; Chen, R.; Li, Z.; Gu, Y.; Bian, J.; Ma, Y. DNA Framework-Engineered Chimeras Platform Enables Selectively Targeted Protein Degradation. Nat. Commun. 2023, 14 (1), 4510. doi: 10.1038/s41467-023-40244-7</w:t>
      </w:r>
    </w:p>
    <w:p>
      <w:pPr>
        <w:spacing w:before="0" w:after="0"/>
        <w:snapToGrid w:val="0"/>
        <w:ind w:left="284" w:hanging="284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Wu, T.; Yu, B.; Xu, Y.; Du, Z.; Zhang, Z.; Wang, Y.; Chen, H.; Zhang, L.; Chen, R.; Ma, F.; Gong, W.; Yu, S.; Qiu, Z.; Wu, H.; Xu, X.; Wang, J.; Li, Z.; Bian, J. Discovery of Selective and Potent Macrocyclic CDK9 Inhibitors for Osimertinib-Resistant Non-Small-Cell Lung Cancer. J. Med. Chem. 2023, 66 (22), 15340–15361. doi: 10.1021/acs.jmedchem.3c01400</w:t>
      </w:r>
    </w:p>
    <w:p>
      <w:pPr>
        <w:spacing w:before="0" w:after="0"/>
        <w:snapToGrid w:val="0"/>
        <w:ind w:left="284" w:hanging="284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Wu, T.; Wu, X.; Xu, Y.; Chen, R.; Wang, J.; Li, Z.; Bian, J. A Patent Review of Selective CDK9 Inhibitors in Treating Cancer. Expert Opin. Ther. Pat. 2023, 33 (4), 309–322. doi: 10.1080/13543776.2023.2208747</w:t>
      </w:r>
    </w:p>
    <w:p>
      <w:pPr>
        <w:spacing w:before="0" w:after="0"/>
        <w:snapToGrid w:val="0"/>
        <w:ind w:left="284" w:hanging="284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Wang, D.; Li, X.; Gong, G.; Lu, Y.; Guo, Z.; Chen, R.; Huang, H.; Li, Z.; Bian, J. An Updated Patent Review of Glutaminase Inhibitors (2019–2022). Expert Opin. Ther. Pat. 2023, 33 (1), 17–28. doi: 10.1080/13543776.2023.2173573</w:t>
      </w:r>
    </w:p>
    <w:p>
      <w:pPr>
        <w:spacing w:before="0" w:after="0"/>
        <w:snapToGrid w:val="0"/>
        <w:ind w:left="284" w:hanging="284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Xie, Y.; Tian, Y.; Zhang, Y.; Zhang, Z.; Chen, R.; Li, M.; Tang, J.; Bian, J.; Li, Z.; Xu, X. Overview of the Development of Selective Androgen Receptor Modulators (SARMs) as Pharmacological Treatment for Osteoporosis (1998–2021). Eur. J. Med. Chem. 2022, 230, 114119. doi: 10.1016/j.ejmech.2022.114119</w:t>
      </w:r>
    </w:p>
    <w:p>
      <w:pPr>
        <w:spacing w:before="0" w:after="0"/>
        <w:snapToGrid w:val="0"/>
        <w:ind w:left="284" w:hanging="284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Chen, R.; Huang, J.; Chen, Y.; Qin, L.; Chen, H.; Wang, Y.; Huang, D.; Li, Z.; Ali, A. R.; Bian, J. Identification of a Novel ASCT2 (SLC1A5) Inhibitor by Dynamic Pharmacophore-Based Virtual Screening. Manuscript in preparation (first author; biological evaluation ongoing).</w:t>
      </w:r>
    </w:p>
    <w:p>
      <w:pPr>
        <w:spacing w:before="100" w:after="60"/>
        <w:snapToGrid w:val="0"/>
        <w:pBdr>
          <w:bottom w:val="single" w:sz="4" w:space="1" w:color="auto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PATENTS</w:t>
      </w:r>
    </w:p>
    <w:p>
      <w:pPr>
        <w:spacing w:before="0" w:after="0"/>
        <w:snapToGrid w:val="0"/>
        <w:ind w:left="284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Two Chinese invention patent applications on processes for the preparation of an optically active intermediate of a polycyclic carbamoyl pyridone derivative: (I) an asymmetric route; (II) a route avoiding hazardous reagents. Drafted and finalized with IP counsel (2026); filing pending.</w:t>
      </w:r>
    </w:p>
    <w:p>
      <w:pPr>
        <w:spacing w:before="100" w:after="60"/>
        <w:snapToGrid w:val="0"/>
        <w:pBdr>
          <w:bottom w:val="single" w:sz="4" w:space="1" w:color="auto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RESEARCH</w:t>
      </w:r>
    </w:p>
    <w:p>
      <w:pPr>
        <w:spacing w:before="0" w:after="20"/>
        <w:snapToGrid w:val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China Pharmaceutical University | Supervisor: Prof. Jinlei Bian</w:t>
      </w:r>
    </w:p>
    <w:p>
      <w:pPr>
        <w:spacing w:before="0" w:after="40"/>
        <w:snapToGrid w:val="0"/>
      </w:pPr>
      <w:r>
        <w:rPr>
          <w:rFonts w:ascii="Times New Roman" w:hAnsi="Times New Roman" w:eastAsia="Times New Roman" w:cs="Times New Roman"/>
          <w:b w:val="0"/>
          <w:i/>
          <w:color w:val="000000"/>
          <w:sz w:val="20"/>
        </w:rPr>
        <w:t>Keywords: PROTAC, molecular glues, linker design, ASCT2, CLK2, CADD, process chemistry</w:t>
      </w:r>
    </w:p>
    <w:p>
      <w:pPr>
        <w:spacing w:before="60" w:after="0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  <w:spacing w:val="20"/>
        </w:rPr>
        <w:t>DEGRADER &amp; NEW-MODALITY CHEMISTRY</w:t>
      </w:r>
    </w:p>
    <w:p>
      <w:pPr>
        <w:spacing w:before="0" w:after="0"/>
        <w:tabs>
          <w:tab w:pos="10800" w:val="right"/>
        </w:tabs>
        <w:snapToGrid w:val="0"/>
        <w:ind w:left="284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(1) DNA-linker PROTAC (CDK9 warhead)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Apr. 2022 – Jun. 2023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Designed and synthesized the CDK9 inhibitor-based PROTAC warhead, and docked DNA–protein and small molecule–protein complexes.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Demonstrated that caged DNA fixes PROTAC linker length and supports efficient protein degradation.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Co-authored the resulting article, published in Nat. Commun. (2023).</w:t>
      </w:r>
    </w:p>
    <w:p>
      <w:pPr>
        <w:spacing w:before="60" w:after="0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  <w:spacing w:val="20"/>
        </w:rPr>
        <w:t>TARGET-BASED DESIGN AND SYNTHESIS</w:t>
      </w:r>
    </w:p>
    <w:p>
      <w:pPr>
        <w:spacing w:before="0" w:after="0"/>
        <w:tabs>
          <w:tab w:pos="10800" w:val="right"/>
        </w:tabs>
        <w:snapToGrid w:val="0"/>
        <w:ind w:left="284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(2) ASCT2 (SLC1A5) inhibitors (Project Leader)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Oct. 2021 – Jun. 2023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Led a virtual screening and activity-assay workflow combining molecular dynamics simulation, docking and pharmacophore screening.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Analyzed the ligand–target conformational relationship from the crystal structure, then designed and synthesized 31 novel inhibitors.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Identified a lead with antiproliferative IC₅₀ = 0.39 µM in tumor cells, outperforming the reference ASCT2 inhibitor V9302 in the same proliferation assay; the scaffold was newly discovered by virtual screening rather than derived from known chemotypes.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Completed the M.Sc. thesis and the first-author manuscript arising from this work.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Mentored two undergraduates through the full review-writing process — literature and patent searching, critical reading, and manuscript structure — for a patent review on glutaminase inhibitors (Expert Opin. Ther. Pat. 2023).</w:t>
      </w:r>
    </w:p>
    <w:p>
      <w:pPr>
        <w:spacing w:before="0" w:after="0"/>
        <w:tabs>
          <w:tab w:pos="10800" w:val="right"/>
        </w:tabs>
        <w:snapToGrid w:val="0"/>
        <w:ind w:left="284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(3) CLK2 inhibitors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Jun. 2022 – Jun. 2023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Discovered novel CLK2 inhibitors through structure-based drug design.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Improved water solubility and formulation properties of the lead, and raised antiproliferative potency against H1299 cells.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Performed molecular docking and prepared the docking figures for a co-authored patent review on selective CDK9 inhibitors (Expert Opin. Ther. Pat. 2023).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Published the CLK2 work in Eur. J. Med. Chem. (2024).</w:t>
      </w:r>
    </w:p>
    <w:p>
      <w:pPr>
        <w:spacing w:before="0" w:after="0"/>
        <w:tabs>
          <w:tab w:pos="10800" w:val="right"/>
        </w:tabs>
        <w:snapToGrid w:val="0"/>
        <w:ind w:left="284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(4) DON ester prodrugs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Feb. 2022 – Jun. 2022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Designed and synthesized a series of DON ester prodrugs.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Mitigated the intrinsic toxicity of DON and improved its plasma stability and tolerability.</w:t>
      </w:r>
    </w:p>
    <w:p>
      <w:pPr>
        <w:spacing w:before="0" w:after="0"/>
        <w:tabs>
          <w:tab w:pos="10800" w:val="right"/>
        </w:tabs>
        <w:snapToGrid w:val="0"/>
        <w:ind w:left="284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(5) LAT1 inhibitors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Aug. 2021 – May. 2022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Contributed molecular docking and scaffold design to the LAT1 inhibitor program.</w:t>
      </w:r>
    </w:p>
    <w:p>
      <w:pPr>
        <w:spacing w:before="60" w:after="0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  <w:spacing w:val="20"/>
        </w:rPr>
        <w:t>PROCESS CHEMISTRY &amp; DEVELOPABILITY</w:t>
      </w:r>
    </w:p>
    <w:p>
      <w:pPr>
        <w:spacing w:before="0" w:after="0"/>
        <w:tabs>
          <w:tab w:pos="10800" w:val="right"/>
        </w:tabs>
        <w:snapToGrid w:val="0"/>
        <w:ind w:left="284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(6) Process chemistry for a novel JAK inhibitor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Apr. 2021 – Jan. 2022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Optimized process and recrystallization parameters, improving the overall yield and enabling rapid synthesis at kilogram scale.</w:t>
      </w:r>
    </w:p>
    <w:p>
      <w:pPr>
        <w:spacing w:before="0" w:after="0"/>
        <w:tabs>
          <w:tab w:pos="10800" w:val="right"/>
        </w:tabs>
        <w:snapToGrid w:val="0"/>
        <w:ind w:left="284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(7) Reference standards for psychotropic drugs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Oct. 2020 – Mar. 2021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In collaboration with China’s National Narcotics Control Bureau, investigated and synthesized standardized reference controls for several psychotropic drugs, and authored the project closure report.</w:t>
      </w:r>
    </w:p>
    <w:p>
      <w:pPr>
        <w:spacing w:before="100" w:after="60"/>
        <w:snapToGrid w:val="0"/>
        <w:pBdr>
          <w:bottom w:val="single" w:sz="4" w:space="1" w:color="auto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WORK EXPERIENCE</w:t>
      </w:r>
    </w:p>
    <w:p>
      <w:pPr>
        <w:spacing w:before="0" w:after="0"/>
        <w:tabs>
          <w:tab w:pos="10800" w:val="right"/>
        </w:tabs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Jiangsu Aidea Pharmaceutical Co., Ltd. | Medicinal Chemist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Jul. 2023 – Present</w:t>
      </w:r>
    </w:p>
    <w:p>
      <w:pPr>
        <w:spacing w:before="0" w:after="40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Focus: HIV antivirals and process chemistry — discovery, analogue design and scale-up</w:t>
      </w:r>
    </w:p>
    <w:p>
      <w:pPr>
        <w:spacing w:before="0" w:after="0"/>
        <w:tabs>
          <w:tab w:pos="10800" w:val="right"/>
        </w:tabs>
        <w:snapToGrid w:val="0"/>
        <w:ind w:left="284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(1) Process chemistry for a chiral intermediate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Developed two alternative synthetic routes to an optically active intermediate of a polycyclic carbamoyl pyridone derivative, targeting lower cost, simpler chiral resolution, and reduced reliance on hazardous reagents.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Redesigned the chiral resolution step, improving isolation efficiency and eliminating a chromatography-dependent operation not scalable in manufacturing.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Authored two patent applications on the two routes (drafted and finalized with IP counsel; filing pending).</w:t>
      </w:r>
    </w:p>
    <w:p>
      <w:pPr>
        <w:spacing w:before="0" w:after="0"/>
        <w:tabs>
          <w:tab w:pos="10800" w:val="right"/>
        </w:tabs>
        <w:snapToGrid w:val="0"/>
        <w:ind w:left="284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(2) HIV-1 integrase inhibitor analogue series (ACC017 follow-up)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Synthesized and characterized an analogue series built on the clinical-stage integrase inhibitor ACC017, targeting improved metabolic stability, oral bioavailability and half-life.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Achieved a substantial half-life gain in the series; the lead profile fell outside the program’s strategic target, so the series was not advanced to in-depth evaluation.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Contributed to resolving an aqueous-solubility liability and to identifying a developable crystal form for scale-up.</w:t>
      </w:r>
    </w:p>
    <w:p>
      <w:pPr>
        <w:spacing w:before="0" w:after="0"/>
        <w:tabs>
          <w:tab w:pos="10800" w:val="right"/>
        </w:tabs>
        <w:snapToGrid w:val="0"/>
        <w:ind w:left="284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(3) Long-acting injectable prodrug platform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Designed and synthesized high-molecular-weight prodrug candidates (MW &gt; 1500) to extend the dosing interval and improve bioavailability.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Evaluated promoiety and linker strategies to balance chemical stability, release kinetics and tolerability.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Built multistep synthetic routes to complex high-MW conjugates requiring careful control of coupling and purification.</w:t>
      </w:r>
    </w:p>
    <w:p>
      <w:pPr>
        <w:spacing w:before="0" w:after="0"/>
        <w:tabs>
          <w:tab w:pos="10800" w:val="right"/>
        </w:tabs>
        <w:snapToGrid w:val="0"/>
        <w:ind w:left="284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(4) Novel HIV-1 capsid inhibitor – structure-based design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Designed novel HIV-1 capsid inhibitors using molecular dynamics simulation and docking.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Synthesized complex polycyclic candidates requiring multistep chiral routes, and evaluated their biological activity.</w:t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Screened intermediate processes, optimized crystallization and reduced impurity formation at scale.</w:t>
      </w:r>
    </w:p>
    <w:p>
      <w:pPr>
        <w:spacing w:before="0" w:after="0"/>
        <w:tabs>
          <w:tab w:pos="10800" w:val="right"/>
        </w:tabs>
        <w:snapToGrid w:val="0"/>
        <w:ind w:left="284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(5) ACC007 – production process improvement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</w:r>
    </w:p>
    <w:p>
      <w:pPr>
        <w:spacing w:before="0" w:after="0"/>
        <w:snapToGrid w:val="0"/>
        <w:ind w:left="426" w:hanging="284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•  Redesigned the synthetic route to reduce production cost, and optimized process parameters to cut operational waste at scale.</w:t>
      </w:r>
    </w:p>
    <w:p>
      <w:pPr>
        <w:spacing w:before="100" w:after="60"/>
        <w:snapToGrid w:val="0"/>
        <w:pBdr>
          <w:bottom w:val="single" w:sz="4" w:space="1" w:color="auto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PROFESSIONAL SKILLS</w:t>
      </w:r>
    </w:p>
    <w:p>
      <w:pPr>
        <w:spacing w:before="0" w:after="0"/>
        <w:snapToGrid w:val="0"/>
        <w:ind w:left="284" w:hanging="284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 xml:space="preserve">CADD &amp; AIDD: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structure-based design from virtual screening and MD through to synthesis (Schrödinger, MOE, Discovery Studio, AutoDock, GROMACS, PyMOL); completed a full design–synthesis–assay cycle against ASCT2 (31 compounds).</w:t>
      </w:r>
    </w:p>
    <w:p>
      <w:pPr>
        <w:spacing w:before="0" w:after="0"/>
        <w:snapToGrid w:val="0"/>
        <w:ind w:left="284" w:hanging="284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 xml:space="preserve">AI &amp; data: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apply LLM-based tools to literature mining, patent analysis and AI-assisted design; use AI for SAR reasoning, ADMET triage and docking/MD interpretation. Built a laboratory ELN and a literature-management tool (see rechain-cr.github.io).</w:t>
      </w:r>
    </w:p>
    <w:p>
      <w:pPr>
        <w:spacing w:before="0" w:after="0"/>
        <w:snapToGrid w:val="0"/>
        <w:ind w:left="284" w:hanging="284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 xml:space="preserve">Experimental: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independently design experiments and deliver target compounds, including complex polycyclic and chiral targets; TLC, recrystallization, column chromatography, and structure elucidation by ¹H NMR, MS and HPLC.</w:t>
      </w:r>
    </w:p>
    <w:p>
      <w:pPr>
        <w:spacing w:before="0" w:after="0"/>
        <w:snapToGrid w:val="0"/>
        <w:ind w:left="284" w:hanging="284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 xml:space="preserve">Software: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Office, Zotero, Adobe Illustrator, GraphPad, ChemDraw, MestReNova.</w:t>
      </w:r>
    </w:p>
    <w:p>
      <w:pPr>
        <w:spacing w:before="0" w:after="0"/>
        <w:snapToGrid w:val="0"/>
        <w:ind w:left="284" w:hanging="284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 xml:space="preserve">Language: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Chinese Mandarin (Level II, Grade A); English: IELTS 6.5 (no band below 6.0).</w:t>
      </w:r>
    </w:p>
    <w:p>
      <w:pPr>
        <w:spacing w:before="100" w:after="60"/>
        <w:snapToGrid w:val="0"/>
        <w:pBdr>
          <w:bottom w:val="single" w:sz="4" w:space="1" w:color="auto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HONORS &amp; AWARDS</w:t>
      </w:r>
    </w:p>
    <w:p>
      <w:pPr>
        <w:spacing w:before="0" w:after="20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  <w:spacing/>
        </w:rPr>
        <w:t>RESEARCH</w:t>
      </w:r>
    </w:p>
    <w:p>
      <w:pPr>
        <w:spacing w:before="0" w:after="0"/>
        <w:tabs>
          <w:tab w:pos="10800" w:val="right"/>
        </w:tabs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Bronze Award (Team lead, four-person team), AI for Science Track, 2nd Global Digital-Intelligence Education Innovation Competition (Peking University)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Nov. 2025</w:t>
      </w:r>
    </w:p>
    <w:p>
      <w:pPr>
        <w:spacing w:before="60" w:after="20"/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8"/>
        </w:rPr>
        <w:t>ACADEMIC</w:t>
      </w:r>
    </w:p>
    <w:p>
      <w:pPr>
        <w:spacing w:before="0" w:after="0"/>
        <w:tabs>
          <w:tab w:pos="10800" w:val="right"/>
        </w:tabs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CPU Scholarship, Second Prize (2021 &amp; 2022); CPU First Prize for Freshman Graduate Students (Top 5%)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2020–2022</w:t>
      </w:r>
    </w:p>
    <w:p>
      <w:pPr>
        <w:spacing w:before="0" w:after="0"/>
        <w:tabs>
          <w:tab w:pos="10800" w:val="right"/>
        </w:tabs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Shandong Province Outstanding Undergraduate Student Award (Top 1%)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Jun. 2020</w:t>
      </w:r>
    </w:p>
    <w:p>
      <w:pPr>
        <w:spacing w:before="0" w:after="0"/>
        <w:tabs>
          <w:tab w:pos="10800" w:val="right"/>
        </w:tabs>
        <w:snapToGrid w:val="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Provincial Silver Award, “Internet+” Innovation and Entrepreneurship Competition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Sep. 2019</w:t>
      </w:r>
    </w:p>
    <w:sectPr w:rsidR="00FC693F" w:rsidRPr="0006063C" w:rsidSect="00034616">
      <w:pgSz w:w="12240" w:h="15840"/>
      <w:pgMar w:top="720" w:right="720" w:bottom="6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multiLevelType w:val="singleLevel"/>
    <w:lvl w:ilvl="0">
      <w:start w:val="1"/>
      <w:numFmt w:val="decimal"/>
      <w:lvlText w:val="(%1)"/>
      <w:lvlJc w:val="left"/>
      <w:pPr>
        <w:ind w:left="284" w:hanging="284"/>
      </w:pPr>
    </w:lvl>
  </w:abstractNum>
  <w:abstractNum w:abstractNumId="101">
    <w:multiLevelType w:val="singleLevel"/>
    <w:lvl w:ilvl="0">
      <w:start w:val="1"/>
      <w:numFmt w:val="bullet"/>
      <w:lvlText w:val="•"/>
      <w:lvlJc w:val="left"/>
      <w:pPr>
        <w:ind w:left="284" w:hanging="284"/>
      </w:pPr>
      <w:rPr>
        <w:rFonts w:ascii="Symbol" w:hAnsi="Symbol" w:hint="default"/>
      </w:rPr>
    </w:lvl>
  </w:abstract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spacing w:before="0" w:after="0" w:line="240" w:lineRule="auto"/>
      <w:snapToGrid w:val="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