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>
      <w:pPr>
        <w:spacing w:before="0" w:after="0" w:line="240" w:lineRule="auto"/>
        <w:jc w:val="center"/>
      </w:pPr>
      <w:r>
        <w:rPr>
          <w:rFonts w:ascii="Arial" w:eastAsia="Arial" w:hAnsi="Arial" w:cs="Arial"/>
          <w:color w:val="000000"/>
          <w:sz w:val="24"/>
          <w:szCs w:val="24"/>
        </w:rPr>
        <w:t xml:space="preserve">TENNESSEE CLASSIFICATION INSTRUMENT</w:t>
      </w:r>
    </w:p>
    <w:p>
      <w:pPr>
        <w:spacing w:before="0" w:after="140" w:line="240" w:lineRule="auto"/>
        <w:jc w:val="center"/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TRUSTEE AND ANNEX ASSESSMENT</w:t>
      </w:r>
    </w:p>
    <w:p>
      <w:pPr>
        <w:spacing w:before="0" w:after="140" w:line="240" w:lineRule="auto"/>
      </w:pPr>
      <w:r>
        <w:rPr>
          <w:rFonts w:ascii="Arial" w:eastAsia="Arial" w:hAnsi="Arial" w:cs="Arial"/>
          <w:color w:val="000000"/>
          <w:sz w:val="21"/>
          <w:szCs w:val="21"/>
        </w:rPr>
        <w:t xml:space="preserve">See full instructions for 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 xml:space="preserve">Trustee Assessment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 and </w:t>
      </w:r>
      <w:r>
        <w:rPr>
          <w:rFonts w:ascii="Arial" w:eastAsia="Arial" w:hAnsi="Arial" w:cs="Arial"/>
          <w:b/>
          <w:bCs/>
          <w:color w:val="000000"/>
          <w:sz w:val="21"/>
          <w:szCs w:val="21"/>
        </w:rPr>
        <w:t xml:space="preserve">Annex Placement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 in the Pilot Classification User’s Guide</w:t>
      </w:r>
    </w:p>
    <w:p>
      <w:pPr>
        <w:spacing w:before="0" w:after="60" w:line="240" w:lineRule="auto"/>
      </w:pPr>
      <w:r>
        <w:rPr>
          <w:rFonts w:ascii="Arial" w:eastAsia="Arial" w:hAnsi="Arial" w:cs="Arial"/>
          <w:b/>
          <w:bCs/>
          <w:color w:val="000000"/>
          <w:sz w:val="21"/>
          <w:szCs w:val="21"/>
        </w:rPr>
        <w:t xml:space="preserve">Eligibility criteria</w:t>
      </w:r>
    </w:p>
    <w:p>
      <w:pPr>
        <w:spacing w:before="0" w:after="40" w:line="240" w:lineRule="auto"/>
        <w:ind w:left="260" w:hanging="260"/>
      </w:pPr>
      <w:r>
        <w:rPr>
          <w:rFonts w:ascii="Arial" w:eastAsia="Arial" w:hAnsi="Arial" w:cs="Arial"/>
          <w:color w:val="000000"/>
          <w:sz w:val="21"/>
          <w:szCs w:val="21"/>
        </w:rPr>
        <w:t xml:space="preserve">•   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Criteria 1 to 13 must be marked True for placement on Trustee custody. True always means the inmate clears the requirement.</w:t>
      </w:r>
    </w:p>
    <w:p>
      <w:pPr>
        <w:spacing w:before="0" w:after="40" w:line="240" w:lineRule="auto"/>
        <w:ind w:left="260" w:hanging="260"/>
      </w:pPr>
      <w:r>
        <w:rPr>
          <w:rFonts w:ascii="Arial" w:eastAsia="Arial" w:hAnsi="Arial" w:cs="Arial"/>
          <w:color w:val="000000"/>
          <w:sz w:val="21"/>
          <w:szCs w:val="21"/>
        </w:rPr>
        <w:t xml:space="preserve">•   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If criteria 14 or 15 is False, the Assistant Commissioner for Prison Operations or their designee must approve Trustee custody placement.</w:t>
      </w:r>
    </w:p>
    <w:p>
      <w:pPr>
        <w:spacing w:before="0" w:after="40" w:line="240" w:lineRule="auto"/>
        <w:ind w:left="260" w:hanging="260"/>
      </w:pPr>
      <w:r>
        <w:rPr>
          <w:rFonts w:ascii="Arial" w:eastAsia="Arial" w:hAnsi="Arial" w:cs="Arial"/>
          <w:color w:val="000000"/>
          <w:sz w:val="21"/>
          <w:szCs w:val="21"/>
        </w:rPr>
        <w:t xml:space="preserve">•   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Trustee custody inmates should be placed in Annex housing.</w:t>
      </w:r>
    </w:p>
    <w:p>
      <w:pPr>
        <w:spacing w:before="0" w:after="40" w:line="240" w:lineRule="auto"/>
        <w:ind w:left="260" w:hanging="260"/>
      </w:pPr>
      <w:r>
        <w:rPr>
          <w:rFonts w:ascii="Arial" w:eastAsia="Arial" w:hAnsi="Arial" w:cs="Arial"/>
          <w:color w:val="000000"/>
          <w:sz w:val="21"/>
          <w:szCs w:val="21"/>
        </w:rPr>
        <w:t xml:space="preserve">•   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An inmate who is not eligible for Trustee custody may still be eligible for Annex housing. Criteria 1, 2, 4, 5 and 6 must be True. Criterion 3 may be False if the inmate has 7 years or less remaining to serve.</w:t>
      </w:r>
    </w:p>
    <w:p>
      <w:pPr>
        <w:spacing w:before="0" w:after="40" w:line="240" w:lineRule="auto"/>
        <w:ind w:left="260" w:hanging="260"/>
      </w:pPr>
      <w:r>
        <w:rPr>
          <w:rFonts w:ascii="Arial" w:eastAsia="Arial" w:hAnsi="Arial" w:cs="Arial"/>
          <w:color w:val="000000"/>
          <w:sz w:val="21"/>
          <w:szCs w:val="21"/>
        </w:rPr>
        <w:t xml:space="preserve">•   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Warden approval is required for every Trustee custody placement. Any additional approvers are listed in Part 2.</w:t>
      </w:r>
    </w:p>
    <w:p>
      <w:pPr>
        <w:keepNext/>
        <w:spacing w:before="0" w:after="60" w:line="240" w:lineRule="auto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Trustee Custody and Annex Housing Criteria</w:t>
      </w:r>
    </w:p>
    <w:tbl>
      <w:tblPr>
        <w:tblW w:w="9360" w:type="dxa"/>
        <w:tblLayout w:type="fixed"/>
        <w:tblLook w:val="0000" w:firstRow="0" w:lastRow="0" w:firstColumn="0" w:lastColumn="0" w:noHBand="1" w:noVBand="1"/>
      </w:tblPr>
      <w:tblGrid>
        <w:gridCol w:w="560"/>
        <w:gridCol w:w="5660"/>
        <w:gridCol w:w="820"/>
        <w:gridCol w:w="820"/>
        <w:gridCol w:w="1500"/>
      </w:tblGrid>
      <w:tr>
        <w:trPr>
          <w:cantSplit/>
          <w:tblHeader/>
        </w:trPr>
        <w:tc>
          <w:tcPr>
            <w:tcW w:w="62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Group A. Sentence and offense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True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False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Not required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w="5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Inmate has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10 years or less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remaining on their sentence AND is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not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serving a life or death sentence.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{q1t}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{q1f}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i/>
                <w:iCs/>
                <w:color w:val="595959"/>
                <w:sz w:val="18"/>
                <w:szCs w:val="18"/>
              </w:rPr>
              <w:t xml:space="preserve">{q1na}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w="5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Inmate has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no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conviction for First Degree Murder, or for facilitation, solicitation, attempt, or conspiracy to commit First Degree Murder.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{q2t}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{q2f}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i/>
                <w:iCs/>
                <w:color w:val="595959"/>
                <w:sz w:val="18"/>
                <w:szCs w:val="18"/>
              </w:rPr>
              <w:t xml:space="preserve">{q2na}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w="5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Inmate is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not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a sex offender.</w:t>
            </w:r>
          </w:p>
          <w:p>
            <w:pPr>
              <w:pBdr>
                <w:top w:val="single" w:sz="6" w:space="3" w:color="000000"/>
                <w:left w:val="single" w:sz="6" w:space="4" w:color="000000"/>
                <w:bottom w:val="single" w:sz="6" w:space="3" w:color="000000"/>
                <w:right w:val="single" w:sz="6" w:space="4" w:color="000000"/>
              </w:pBdr>
              <w:spacing w:before="6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Inmate has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7 years or less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remaining on their sentence.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   True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{subQ3t}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   False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{subQ3f}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{q3t}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{q3f}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i/>
                <w:iCs/>
                <w:color w:val="595959"/>
                <w:sz w:val="18"/>
                <w:szCs w:val="18"/>
              </w:rPr>
              <w:t xml:space="preserve">{q3na}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w="5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If inmate's current offense is a violent/assaultive offense, the inmate has been in TDOC custody for a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minimum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of 12 months.</w:t>
            </w:r>
          </w:p>
          <w:p>
            <w:pPr>
              <w:spacing w:before="40" w:after="0" w:line="240" w:lineRule="auto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NOTE: See Offense Severity List for assaultive offenses.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{q4t}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{q4f}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i/>
                <w:iCs/>
                <w:color w:val="595959"/>
                <w:sz w:val="18"/>
                <w:szCs w:val="18"/>
              </w:rPr>
              <w:t xml:space="preserve">{q4na}</w:t>
            </w:r>
          </w:p>
        </w:tc>
      </w:tr>
      <w:tr>
        <w:trPr>
          <w:cantSplit/>
          <w:tblHeader/>
        </w:trPr>
        <w:tc>
          <w:tcPr>
            <w:tcW w:w="62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Group B. Clinical / MAT (Medication Assisted Treatment)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True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False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Not required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w="5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Inmate is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not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currently on clinical alert status.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{q5t}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{q5f}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i/>
                <w:iCs/>
                <w:color w:val="595959"/>
                <w:sz w:val="18"/>
                <w:szCs w:val="18"/>
              </w:rPr>
              <w:t xml:space="preserve">{q5na}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w="5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Inmate is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not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on a level of care (LOC) of 3, 4, 5, or 6.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{q6t}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{q6f}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i/>
                <w:iCs/>
                <w:color w:val="595959"/>
                <w:sz w:val="18"/>
                <w:szCs w:val="18"/>
              </w:rPr>
              <w:t xml:space="preserve">{q6na}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keepNext/>
        <w:spacing w:before="40" w:after="60" w:line="240" w:lineRule="auto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Additional Trustee Custody Criteria</w:t>
      </w:r>
    </w:p>
    <w:tbl>
      <w:tblPr>
        <w:tblW w:w="9360" w:type="dxa"/>
        <w:tblLayout w:type="fixed"/>
        <w:tblLook w:val="0000" w:firstRow="0" w:lastRow="0" w:firstColumn="0" w:lastColumn="0" w:noHBand="1" w:noVBand="1"/>
      </w:tblPr>
      <w:tblGrid>
        <w:gridCol w:w="560"/>
        <w:gridCol w:w="5660"/>
        <w:gridCol w:w="820"/>
        <w:gridCol w:w="820"/>
        <w:gridCol w:w="1500"/>
      </w:tblGrid>
      <w:tr>
        <w:trPr>
          <w:cantSplit/>
          <w:tblHeader/>
        </w:trPr>
        <w:tc>
          <w:tcPr>
            <w:tcW w:w="62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Group C. Custody and behavior history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True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False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Not required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w="5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Inmate has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no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court-prosecuted felony convictions for a violent/assaultive offense committed during the past 5 years of incarceration.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{q7t}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{q7f}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i/>
                <w:iCs/>
                <w:color w:val="595959"/>
                <w:sz w:val="18"/>
                <w:szCs w:val="18"/>
              </w:rPr>
              <w:t xml:space="preserve">{q7na}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w="5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Inmate has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no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escape or attempted escape from medium, close, or maximum custody within the last 10 years of incarceration.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{q8t}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{q8f}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i/>
                <w:iCs/>
                <w:color w:val="595959"/>
                <w:sz w:val="18"/>
                <w:szCs w:val="18"/>
              </w:rPr>
              <w:t xml:space="preserve">{q8na}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w="5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Inmate has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no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escape on record from low or Trustee custody within the last 5 years of incarceration.</w:t>
            </w:r>
          </w:p>
          <w:p>
            <w:pPr>
              <w:spacing w:before="40" w:after="0" w:line="240" w:lineRule="auto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NOTE: "Low custody" includes prior placements at minimum direct, minimum restrict, or minimum Trustee custody levels.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{q9t}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{q9f}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i/>
                <w:iCs/>
                <w:color w:val="595959"/>
                <w:sz w:val="18"/>
                <w:szCs w:val="18"/>
              </w:rPr>
              <w:t xml:space="preserve">{q9na}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10</w:t>
            </w:r>
          </w:p>
        </w:tc>
        <w:tc>
          <w:tcPr>
            <w:tcW w:w="5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Inmate has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no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disciplinary convictions for assaultive conduct that resulted in serious injury or the death of another individual within the past 5 years of incarceration.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{q10t}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{q10f}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i/>
                <w:iCs/>
                <w:color w:val="595959"/>
                <w:sz w:val="18"/>
                <w:szCs w:val="18"/>
              </w:rPr>
              <w:t xml:space="preserve">{q10na}</w:t>
            </w:r>
          </w:p>
        </w:tc>
      </w:tr>
      <w:tr>
        <w:trPr>
          <w:cantSplit/>
          <w:tblHeader/>
        </w:trPr>
        <w:tc>
          <w:tcPr>
            <w:tcW w:w="62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Group D. Legal holds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True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False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Not required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w="5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Inmate has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no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felony or misdemeanor detainers and/or active warrants.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{q11t}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{q11f}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i/>
                <w:iCs/>
                <w:color w:val="595959"/>
                <w:sz w:val="18"/>
                <w:szCs w:val="18"/>
              </w:rPr>
              <w:t xml:space="preserve">{q11na}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w="5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Inmate has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no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pending felony charges.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{q12t}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{q12f}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i/>
                <w:iCs/>
                <w:color w:val="595959"/>
                <w:sz w:val="18"/>
                <w:szCs w:val="18"/>
              </w:rPr>
              <w:t xml:space="preserve">{q12na}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13</w:t>
            </w:r>
          </w:p>
        </w:tc>
        <w:tc>
          <w:tcPr>
            <w:tcW w:w="5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Inmate has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no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pending immigration deportation actions.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{q13t}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{q13f}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i/>
                <w:iCs/>
                <w:color w:val="595959"/>
                <w:sz w:val="18"/>
                <w:szCs w:val="18"/>
              </w:rPr>
              <w:t xml:space="preserve">{q13na}</w:t>
            </w:r>
          </w:p>
        </w:tc>
      </w:tr>
      <w:tr>
        <w:trPr>
          <w:cantSplit/>
          <w:tblHeader/>
        </w:trPr>
        <w:tc>
          <w:tcPr>
            <w:tcW w:w="62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Group E. Requires additional approval if not met</w:t>
            </w:r>
          </w:p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False in this group does not disqualify the inmate. It adds a required approver: the Assistant Commissioner for Prison Operations or their designee.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True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False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Not required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14</w:t>
            </w:r>
          </w:p>
        </w:tc>
        <w:tc>
          <w:tcPr>
            <w:tcW w:w="5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Inmate has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no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disciplinary convictions for assaultive conduct that resulted in serious injury or the death of another individual more than 5 years ago.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{q14t}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{q14f}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i/>
                <w:iCs/>
                <w:color w:val="595959"/>
                <w:sz w:val="18"/>
                <w:szCs w:val="18"/>
              </w:rPr>
              <w:t xml:space="preserve">{q14na}</w:t>
            </w:r>
          </w:p>
        </w:tc>
      </w:tr>
      <w:tr>
        <w:trPr>
          <w:cantSplit/>
        </w:trPr>
        <w:tc>
          <w:tcPr>
            <w:tcW w:w="5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w="56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Inmate has </w:t>
            </w: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not</w:t>
            </w: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 scored high for violence on the risk assessment.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{q15t}</w:t>
            </w:r>
          </w:p>
        </w:tc>
        <w:tc>
          <w:tcPr>
            <w:tcW w:w="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000000"/>
                <w:sz w:val="21"/>
                <w:szCs w:val="21"/>
              </w:rPr>
              <w:t xml:space="preserve">{q15f}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eastAsia="Arial" w:hAnsi="Arial" w:cs="Arial"/>
                <w:i/>
                <w:iCs/>
                <w:color w:val="595959"/>
                <w:sz w:val="18"/>
                <w:szCs w:val="18"/>
              </w:rPr>
              <w:t xml:space="preserve">{q15na}</w:t>
            </w:r>
          </w:p>
        </w:tc>
      </w:tr>
    </w:tbl>
    <w:p>
      <w:pPr>
        <w:keepNext/>
        <w:spacing w:before="200" w:after="60" w:line="240" w:lineRule="auto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Eligibility outcome</w:t>
      </w:r>
    </w:p>
    <w:tbl>
      <w:tblPr>
        <w:tblW w:w="5000" w:type="pct"/>
        <w:tblLayout w:type="fixed"/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top w:val="single" w:sz="16" w:space="0" w:color="000000"/>
              <w:left w:val="single" w:sz="16" w:space="0" w:color="000000"/>
              <w:bottom w:val="single" w:sz="16" w:space="0" w:color="000000"/>
              <w:right w:val="single" w:sz="16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Trustee custody</w:t>
            </w:r>
          </w:p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{trusteeOutcome}</w:t>
            </w:r>
          </w:p>
          <w:p>
            <w:pPr>
              <w:spacing w:before="160" w:after="0" w:line="240" w:lineRule="auto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Annex housing</w:t>
            </w:r>
          </w:p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{annexOutcome}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keepNext/>
        <w:spacing w:before="220" w:after="60" w:line="240" w:lineRule="auto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Approvals recorded</w:t>
      </w:r>
    </w:p>
    <w:p>
      <w:pPr>
        <w:spacing w:before="0" w:after="80" w:line="240" w:lineRule="auto"/>
      </w:pPr>
      <w:r>
        <w:rPr>
          <w:rFonts w:ascii="Arial" w:eastAsia="Arial" w:hAnsi="Arial" w:cs="Arial"/>
          <w:color w:val="000000"/>
          <w:sz w:val="19"/>
          <w:szCs w:val="19"/>
        </w:rPr>
        <w:t xml:space="preserve">Record approvals obtained outside this form. These are records of decisions, not signatures.</w:t>
      </w:r>
    </w:p>
    <w:tbl>
      <w:tblPr>
        <w:tblW w:w="9360" w:type="dxa"/>
        <w:tblLayout w:type="fixed"/>
        <w:tblLook w:val="0000" w:firstRow="0" w:lastRow="0" w:firstColumn="0" w:lastColumn="0" w:noHBand="1" w:noVBand="1"/>
      </w:tblPr>
      <w:tblGrid>
        <w:gridCol w:w="3300"/>
        <w:gridCol w:w="2100"/>
        <w:gridCol w:w="3960"/>
      </w:tblGrid>
      <w:tr>
        <w:trPr>
          <w:cantSplit/>
          <w:tblHeader/>
        </w:trPr>
        <w:tc>
          <w:tcPr>
            <w:tcW w:w="3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Approver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Decision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EEEEE"/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b/>
                <w:bCs/>
                <w:color w:val="000000"/>
                <w:sz w:val="19"/>
                <w:szCs w:val="19"/>
              </w:rPr>
              <w:t xml:space="preserve">Signature and date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Warden, Trustee custody placement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{wardenTrusteeApproved}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  Approved</w:t>
            </w:r>
          </w:p>
          <w:p>
            <w:pPr>
              <w:spacing w:before="4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{wardenTrusteeDenied}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  Denied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Signature:</w:t>
            </w:r>
          </w:p>
          <w:p>
            <w:pPr>
              <w:pBdr>
                <w:bottom w:val="single" w:sz="6" w:space="1" w:color="000000"/>
              </w:pBdr>
              <w:spacing w:before="12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 </w:t>
            </w:r>
          </w:p>
          <w:p>
            <w:pPr>
              <w:spacing w:before="12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Date received:</w:t>
            </w:r>
          </w:p>
          <w:p>
            <w:pPr>
              <w:pBdr>
                <w:bottom w:val="single" w:sz="6" w:space="1" w:color="000000"/>
              </w:pBdr>
              <w:spacing w:before="12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{wardenTrusteeDate}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 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Warden, Annex housing placement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{wardenAnnexApproved}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  Approved</w:t>
            </w:r>
          </w:p>
          <w:p>
            <w:pPr>
              <w:spacing w:before="4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{wardenAnnexDenied}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  Denied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Signature:</w:t>
            </w:r>
          </w:p>
          <w:p>
            <w:pPr>
              <w:pBdr>
                <w:bottom w:val="single" w:sz="6" w:space="1" w:color="000000"/>
              </w:pBdr>
              <w:spacing w:before="12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 </w:t>
            </w:r>
          </w:p>
          <w:p>
            <w:pPr>
              <w:spacing w:before="12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Date received:</w:t>
            </w:r>
          </w:p>
          <w:p>
            <w:pPr>
              <w:pBdr>
                <w:bottom w:val="single" w:sz="6" w:space="1" w:color="000000"/>
              </w:pBdr>
              <w:spacing w:before="12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{wardenAnnexDate}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 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Contract Monitor</w:t>
            </w:r>
          </w:p>
          <w:p>
            <w:pPr>
              <w:spacing w:before="30" w:after="0" w:line="240" w:lineRule="auto"/>
            </w:pPr>
            <w:r>
              <w:rPr>
                <w:rFonts w:ascii="Arial" w:eastAsia="Arial" w:hAnsi="Arial" w:cs="Arial"/>
                <w:i/>
                <w:iCs/>
                <w:color w:val="595959"/>
                <w:sz w:val="18"/>
                <w:szCs w:val="18"/>
              </w:rPr>
              <w:t xml:space="preserve">Required for private facilities only.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{contractMonitorApproved}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  Approved</w:t>
            </w:r>
          </w:p>
          <w:p>
            <w:pPr>
              <w:spacing w:before="4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{contractMonitorDenied}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  Denied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Signature:</w:t>
            </w:r>
          </w:p>
          <w:p>
            <w:pPr>
              <w:pBdr>
                <w:bottom w:val="single" w:sz="6" w:space="1" w:color="000000"/>
              </w:pBdr>
              <w:spacing w:before="12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 </w:t>
            </w:r>
          </w:p>
          <w:p>
            <w:pPr>
              <w:spacing w:before="12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Date received:</w:t>
            </w:r>
          </w:p>
          <w:p>
            <w:pPr>
              <w:pBdr>
                <w:bottom w:val="single" w:sz="6" w:space="1" w:color="000000"/>
              </w:pBdr>
              <w:spacing w:before="12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{contractMonitorDate}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 </w:t>
            </w:r>
          </w:p>
        </w:tc>
      </w:tr>
      <w:tr>
        <w:trPr>
          <w:cantSplit/>
        </w:trPr>
        <w:tc>
          <w:tcPr>
            <w:tcW w:w="33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Assistant Commissioner for Prison Operations or designee</w:t>
            </w:r>
          </w:p>
          <w:p>
            <w:pPr>
              <w:spacing w:before="30" w:after="0" w:line="240" w:lineRule="auto"/>
            </w:pPr>
            <w:r>
              <w:rPr>
                <w:rFonts w:ascii="Arial" w:eastAsia="Arial" w:hAnsi="Arial" w:cs="Arial"/>
                <w:i/>
                <w:iCs/>
                <w:color w:val="595959"/>
                <w:sz w:val="18"/>
                <w:szCs w:val="18"/>
              </w:rPr>
              <w:t xml:space="preserve">Required only if a criterion in the additional-approval group is False.</w:t>
            </w:r>
          </w:p>
        </w:tc>
        <w:tc>
          <w:tcPr>
            <w:tcW w:w="21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{acApproved}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  Approved</w:t>
            </w:r>
          </w:p>
          <w:p>
            <w:pPr>
              <w:spacing w:before="40" w:after="0" w:line="240" w:lineRule="auto"/>
            </w:pPr>
            <w:r>
              <w:rPr>
                <w:rFonts w:ascii="Arial" w:eastAsia="Arial" w:hAnsi="Arial" w:cs="Arial"/>
                <w:color w:val="000000"/>
                <w:sz w:val="21"/>
                <w:szCs w:val="21"/>
              </w:rPr>
              <w:t xml:space="preserve">{acDenied}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  Denied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Signature:</w:t>
            </w:r>
          </w:p>
          <w:p>
            <w:pPr>
              <w:pBdr>
                <w:bottom w:val="single" w:sz="6" w:space="1" w:color="000000"/>
              </w:pBdr>
              <w:spacing w:before="12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 </w:t>
            </w:r>
          </w:p>
          <w:p>
            <w:pPr>
              <w:spacing w:before="12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Date received:</w:t>
            </w:r>
          </w:p>
          <w:p>
            <w:pPr>
              <w:pBdr>
                <w:bottom w:val="single" w:sz="6" w:space="1" w:color="000000"/>
              </w:pBdr>
              <w:spacing w:before="120" w:after="0" w:line="240" w:lineRule="auto"/>
            </w:pP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{acDate}</w:t>
            </w:r>
            <w:r>
              <w:rPr>
                <w:rFonts w:ascii="Arial" w:eastAsia="Arial" w:hAnsi="Arial" w:cs="Arial"/>
                <w:color w:val="000000"/>
                <w:sz w:val="19"/>
                <w:szCs w:val="19"/>
              </w:rPr>
              <w:t xml:space="preserve"> </w:t>
            </w:r>
          </w:p>
        </w:tc>
      </w:tr>
    </w:tbl>
    <w:p>
      <w:pPr>
        <w:keepNext/>
        <w:spacing w:before="220" w:after="60" w:line="240" w:lineRule="auto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Reasons for Denial</w:t>
      </w:r>
    </w:p>
    <w:p>
      <w:pPr>
        <w:spacing w:before="0" w:after="80" w:line="240" w:lineRule="auto"/>
      </w:pPr>
      <w:r>
        <w:rPr>
          <w:rFonts w:ascii="Arial" w:eastAsia="Arial" w:hAnsi="Arial" w:cs="Arial"/>
          <w:color w:val="000000"/>
          <w:sz w:val="21"/>
          <w:szCs w:val="21"/>
        </w:rPr>
        <w:t xml:space="preserve">{denialReasons}</w:t>
      </w:r>
    </w:p>
    <w:p>
      <w:pPr>
        <w:keepNext/>
        <w:spacing w:before="0" w:after="40" w:line="240" w:lineRule="auto"/>
      </w:pPr>
      <w:r>
        <w:rPr>
          <w:rFonts w:ascii="Arial" w:eastAsia="Arial" w:hAnsi="Arial" w:cs="Arial"/>
          <w:b/>
          <w:bCs/>
          <w:color w:val="000000"/>
          <w:sz w:val="21"/>
          <w:szCs w:val="21"/>
        </w:rPr>
        <w:t xml:space="preserve">Additional notes:</w:t>
      </w:r>
    </w:p>
    <w:p>
      <w:pPr>
        <w:pBdr>
          <w:bottom w:val="single" w:sz="6" w:space="1" w:color="000000"/>
        </w:pBdr>
        <w:spacing w:before="60" w:after="0" w:line="240" w:lineRule="auto"/>
      </w:pPr>
      <w:r>
        <w:rPr>
          <w:rFonts w:ascii="Arial" w:eastAsia="Arial" w:hAnsi="Arial" w:cs="Arial"/>
          <w:color w:val="000000"/>
          <w:sz w:val="21"/>
          <w:szCs w:val="21"/>
        </w:rPr>
        <w:t xml:space="preserve">{denialNotes}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 </w:t>
      </w:r>
    </w:p>
    <w:p>
      <w:pPr>
        <w:pBdr>
          <w:bottom w:val="single" w:sz="6" w:space="1" w:color="000000"/>
        </w:pBdr>
        <w:spacing w:before="100" w:after="0" w:line="240" w:lineRule="auto"/>
      </w:pPr>
      <w:r>
        <w:rPr>
          <w:rFonts w:ascii="Arial" w:eastAsia="Arial" w:hAnsi="Arial" w:cs="Arial"/>
          <w:color w:val="000000"/>
          <w:sz w:val="21"/>
          <w:szCs w:val="21"/>
        </w:rPr>
        <w:t xml:space="preserve"> </w:t>
      </w:r>
    </w:p>
    <w:p>
      <w:pPr>
        <w:pBdr>
          <w:bottom w:val="single" w:sz="6" w:space="1" w:color="000000"/>
        </w:pBdr>
        <w:spacing w:before="100" w:after="0" w:line="240" w:lineRule="auto"/>
      </w:pPr>
      <w:r>
        <w:rPr>
          <w:rFonts w:ascii="Arial" w:eastAsia="Arial" w:hAnsi="Arial" w:cs="Arial"/>
          <w:color w:val="000000"/>
          <w:sz w:val="21"/>
          <w:szCs w:val="21"/>
        </w:rPr>
        <w:t xml:space="preserve"> </w:t>
      </w:r>
    </w:p>
    <w:p>
      <w:pPr>
        <w:keepNext/>
        <w:spacing w:before="220" w:after="40" w:line="240" w:lineRule="auto"/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 xml:space="preserve">Notes for Warden Review</w:t>
      </w:r>
    </w:p>
    <w:p>
      <w:pPr>
        <w:pBdr>
          <w:bottom w:val="single" w:sz="6" w:space="1" w:color="000000"/>
        </w:pBdr>
        <w:spacing w:before="60" w:after="0" w:line="240" w:lineRule="auto"/>
      </w:pPr>
      <w:r>
        <w:rPr>
          <w:rFonts w:ascii="Arial" w:eastAsia="Arial" w:hAnsi="Arial" w:cs="Arial"/>
          <w:color w:val="000000"/>
          <w:sz w:val="21"/>
          <w:szCs w:val="21"/>
        </w:rPr>
        <w:t xml:space="preserve">{notesForWarden}</w:t>
      </w:r>
      <w:r>
        <w:rPr>
          <w:rFonts w:ascii="Arial" w:eastAsia="Arial" w:hAnsi="Arial" w:cs="Arial"/>
          <w:color w:val="000000"/>
          <w:sz w:val="21"/>
          <w:szCs w:val="21"/>
        </w:rPr>
        <w:t xml:space="preserve"> </w:t>
      </w:r>
    </w:p>
    <w:p>
      <w:pPr>
        <w:pBdr>
          <w:bottom w:val="single" w:sz="6" w:space="1" w:color="000000"/>
        </w:pBdr>
        <w:spacing w:before="100" w:after="0" w:line="240" w:lineRule="auto"/>
      </w:pPr>
      <w:r>
        <w:rPr>
          <w:rFonts w:ascii="Arial" w:eastAsia="Arial" w:hAnsi="Arial" w:cs="Arial"/>
          <w:color w:val="000000"/>
          <w:sz w:val="21"/>
          <w:szCs w:val="21"/>
        </w:rPr>
        <w:t xml:space="preserve"> </w:t>
      </w:r>
    </w:p>
    <w:p>
      <w:pPr>
        <w:pBdr>
          <w:bottom w:val="single" w:sz="6" w:space="1" w:color="000000"/>
        </w:pBdr>
        <w:spacing w:before="100" w:after="0" w:line="240" w:lineRule="auto"/>
      </w:pPr>
      <w:r>
        <w:rPr>
          <w:rFonts w:ascii="Arial" w:eastAsia="Arial" w:hAnsi="Arial" w:cs="Arial"/>
          <w:color w:val="000000"/>
          <w:sz w:val="21"/>
          <w:szCs w:val="21"/>
        </w:rPr>
        <w:t xml:space="preserve"> </w:t>
      </w:r>
    </w:p>
    <w:sectPr w:rsidR="3B12DDC9" w:rsidRPr="000B056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8947D" w14:textId="77777777" w:rsidR="005D1EED" w:rsidRDefault="005D1EED" w:rsidP="00FB6715">
      <w:pPr>
        <w:spacing w:after="0" w:line="240" w:lineRule="auto"/>
      </w:pPr>
      <w:r>
        <w:separator/>
      </w:r>
    </w:p>
  </w:endnote>
  <w:endnote w:type="continuationSeparator" w:id="0">
    <w:p w14:paraId="76C4C749" w14:textId="77777777" w:rsidR="005D1EED" w:rsidRDefault="005D1EED" w:rsidP="00FB67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1DA198" w14:textId="77777777" w:rsidR="00FC01DF" w:rsidRDefault="00FC01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9F1F3" w14:textId="77777777" w:rsidR="00FC01DF" w:rsidRDefault="00FC01D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04126" w14:textId="77777777" w:rsidR="00FC01DF" w:rsidRDefault="00FC01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CA9AC1" w14:textId="77777777" w:rsidR="005D1EED" w:rsidRDefault="005D1EED" w:rsidP="00FB6715">
      <w:pPr>
        <w:spacing w:after="0" w:line="240" w:lineRule="auto"/>
      </w:pPr>
      <w:r>
        <w:separator/>
      </w:r>
    </w:p>
  </w:footnote>
  <w:footnote w:type="continuationSeparator" w:id="0">
    <w:p w14:paraId="2802AF9F" w14:textId="77777777" w:rsidR="005D1EED" w:rsidRDefault="005D1EED" w:rsidP="00FB67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92C09" w14:textId="77777777" w:rsidR="00FC01DF" w:rsidRDefault="00FC01D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0459E" w14:textId="77777777" w:rsidR="00FB6715" w:rsidRPr="000B0562" w:rsidRDefault="00FB6715" w:rsidP="00FB6715">
    <w:pPr>
      <w:pStyle w:val="Header"/>
      <w:jc w:val="right"/>
      <w:rPr>
        <w:rFonts w:ascii="Arial" w:hAnsi="Arial" w:cs="Arial"/>
        <w:sz w:val="21"/>
        <w:szCs w:val="21"/>
      </w:rPr>
    </w:pPr>
    <w:r w:rsidRPr="000B0562">
      <w:rPr>
        <w:rFonts w:ascii="Arial" w:hAnsi="Arial" w:cs="Arial"/>
        <w:sz w:val="21"/>
        <w:szCs w:val="21"/>
      </w:rPr>
      <w:t>{</w:t>
    </w:r>
    <w:proofErr w:type="spellStart"/>
    <w:r w:rsidRPr="000B0562">
      <w:rPr>
        <w:rFonts w:ascii="Arial" w:hAnsi="Arial" w:cs="Arial"/>
        <w:sz w:val="21"/>
        <w:szCs w:val="21"/>
      </w:rPr>
      <w:t>downloadDate</w:t>
    </w:r>
    <w:proofErr w:type="spellEnd"/>
    <w:r w:rsidRPr="000B0562">
      <w:rPr>
        <w:rFonts w:ascii="Arial" w:hAnsi="Arial" w:cs="Arial"/>
        <w:sz w:val="21"/>
        <w:szCs w:val="21"/>
      </w:rPr>
      <w:t>} {</w:t>
    </w:r>
    <w:proofErr w:type="spellStart"/>
    <w:r w:rsidRPr="000B0562">
      <w:rPr>
        <w:rFonts w:ascii="Arial" w:hAnsi="Arial" w:cs="Arial"/>
        <w:sz w:val="21"/>
        <w:szCs w:val="21"/>
      </w:rPr>
      <w:t>downloadTime</w:t>
    </w:r>
    <w:proofErr w:type="spellEnd"/>
    <w:r w:rsidRPr="000B0562">
      <w:rPr>
        <w:rFonts w:ascii="Arial" w:hAnsi="Arial" w:cs="Arial"/>
        <w:sz w:val="21"/>
        <w:szCs w:val="21"/>
      </w:rPr>
      <w:t>}</w:t>
    </w:r>
  </w:p>
  <w:p w14:paraId="62EA64A4" w14:textId="1E644803" w:rsidR="00FB6715" w:rsidRPr="000B0562" w:rsidRDefault="00FB6715" w:rsidP="00FB6715">
    <w:pPr>
      <w:pStyle w:val="Header"/>
      <w:jc w:val="right"/>
      <w:rPr>
        <w:rFonts w:ascii="Arial" w:hAnsi="Arial" w:cs="Arial"/>
        <w:sz w:val="21"/>
        <w:szCs w:val="21"/>
      </w:rPr>
    </w:pPr>
    <w:r w:rsidRPr="000B0562">
      <w:rPr>
        <w:rFonts w:ascii="Arial" w:hAnsi="Arial" w:cs="Arial"/>
        <w:sz w:val="21"/>
        <w:szCs w:val="21"/>
      </w:rPr>
      <w:t>TOMIS ID: {</w:t>
    </w:r>
    <w:proofErr w:type="spellStart"/>
    <w:r w:rsidRPr="000B0562">
      <w:rPr>
        <w:rFonts w:ascii="Arial" w:hAnsi="Arial" w:cs="Arial"/>
        <w:sz w:val="21"/>
        <w:szCs w:val="21"/>
      </w:rPr>
      <w:t>omsId</w:t>
    </w:r>
    <w:proofErr w:type="spellEnd"/>
    <w:r w:rsidRPr="000B0562">
      <w:rPr>
        <w:rFonts w:ascii="Arial" w:hAnsi="Arial" w:cs="Arial"/>
        <w:sz w:val="21"/>
        <w:szCs w:val="21"/>
      </w:rPr>
      <w:t>} {</w:t>
    </w:r>
    <w:proofErr w:type="spellStart"/>
    <w:r w:rsidRPr="000B0562">
      <w:rPr>
        <w:rFonts w:ascii="Arial" w:hAnsi="Arial" w:cs="Arial"/>
        <w:sz w:val="21"/>
        <w:szCs w:val="21"/>
      </w:rPr>
      <w:t>residentFullName</w:t>
    </w:r>
    <w:proofErr w:type="spellEnd"/>
    <w:r w:rsidRPr="000B0562">
      <w:rPr>
        <w:rFonts w:ascii="Arial" w:hAnsi="Arial" w:cs="Arial"/>
        <w:sz w:val="21"/>
        <w:szCs w:val="21"/>
      </w:rPr>
      <w:t>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41202" w14:textId="77777777" w:rsidR="00FC01DF" w:rsidRDefault="00FC01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A6E1C"/>
    <w:multiLevelType w:val="hybridMultilevel"/>
    <w:tmpl w:val="778A60A6"/>
    <w:lvl w:ilvl="0" w:tplc="1BF29676">
      <w:start w:val="1"/>
      <w:numFmt w:val="decimal"/>
      <w:lvlText w:val="%1."/>
      <w:lvlJc w:val="left"/>
      <w:pPr>
        <w:ind w:left="720" w:hanging="360"/>
      </w:pPr>
    </w:lvl>
    <w:lvl w:ilvl="1" w:tplc="B6709EB4">
      <w:start w:val="1"/>
      <w:numFmt w:val="lowerLetter"/>
      <w:lvlText w:val="%2."/>
      <w:lvlJc w:val="left"/>
      <w:pPr>
        <w:ind w:left="1440" w:hanging="360"/>
      </w:pPr>
    </w:lvl>
    <w:lvl w:ilvl="2" w:tplc="0AF846C8">
      <w:start w:val="1"/>
      <w:numFmt w:val="lowerRoman"/>
      <w:lvlText w:val="%3."/>
      <w:lvlJc w:val="right"/>
      <w:pPr>
        <w:ind w:left="2160" w:hanging="180"/>
      </w:pPr>
    </w:lvl>
    <w:lvl w:ilvl="3" w:tplc="BBB250A6">
      <w:start w:val="1"/>
      <w:numFmt w:val="decimal"/>
      <w:lvlText w:val="%4."/>
      <w:lvlJc w:val="left"/>
      <w:pPr>
        <w:ind w:left="2880" w:hanging="360"/>
      </w:pPr>
    </w:lvl>
    <w:lvl w:ilvl="4" w:tplc="5B809C24">
      <w:start w:val="1"/>
      <w:numFmt w:val="lowerLetter"/>
      <w:lvlText w:val="%5."/>
      <w:lvlJc w:val="left"/>
      <w:pPr>
        <w:ind w:left="3600" w:hanging="360"/>
      </w:pPr>
    </w:lvl>
    <w:lvl w:ilvl="5" w:tplc="B74EE012">
      <w:start w:val="1"/>
      <w:numFmt w:val="lowerRoman"/>
      <w:lvlText w:val="%6."/>
      <w:lvlJc w:val="right"/>
      <w:pPr>
        <w:ind w:left="4320" w:hanging="180"/>
      </w:pPr>
    </w:lvl>
    <w:lvl w:ilvl="6" w:tplc="C78CF6B0">
      <w:start w:val="1"/>
      <w:numFmt w:val="decimal"/>
      <w:lvlText w:val="%7."/>
      <w:lvlJc w:val="left"/>
      <w:pPr>
        <w:ind w:left="5040" w:hanging="360"/>
      </w:pPr>
    </w:lvl>
    <w:lvl w:ilvl="7" w:tplc="867E0B86">
      <w:start w:val="1"/>
      <w:numFmt w:val="lowerLetter"/>
      <w:lvlText w:val="%8."/>
      <w:lvlJc w:val="left"/>
      <w:pPr>
        <w:ind w:left="5760" w:hanging="360"/>
      </w:pPr>
    </w:lvl>
    <w:lvl w:ilvl="8" w:tplc="6974EF4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67933E"/>
    <w:multiLevelType w:val="hybridMultilevel"/>
    <w:tmpl w:val="DBF25302"/>
    <w:lvl w:ilvl="0" w:tplc="F8129656">
      <w:start w:val="1"/>
      <w:numFmt w:val="decimal"/>
      <w:lvlText w:val="%1."/>
      <w:lvlJc w:val="left"/>
      <w:pPr>
        <w:ind w:left="720" w:hanging="360"/>
      </w:pPr>
    </w:lvl>
    <w:lvl w:ilvl="1" w:tplc="DC8ED3E8">
      <w:start w:val="1"/>
      <w:numFmt w:val="lowerLetter"/>
      <w:lvlText w:val="%2."/>
      <w:lvlJc w:val="left"/>
      <w:pPr>
        <w:ind w:left="1440" w:hanging="360"/>
      </w:pPr>
    </w:lvl>
    <w:lvl w:ilvl="2" w:tplc="E4F40132">
      <w:start w:val="1"/>
      <w:numFmt w:val="lowerRoman"/>
      <w:lvlText w:val="%3."/>
      <w:lvlJc w:val="right"/>
      <w:pPr>
        <w:ind w:left="2160" w:hanging="180"/>
      </w:pPr>
    </w:lvl>
    <w:lvl w:ilvl="3" w:tplc="1EAAA7CC">
      <w:start w:val="1"/>
      <w:numFmt w:val="decimal"/>
      <w:lvlText w:val="%4."/>
      <w:lvlJc w:val="left"/>
      <w:pPr>
        <w:ind w:left="2880" w:hanging="360"/>
      </w:pPr>
    </w:lvl>
    <w:lvl w:ilvl="4" w:tplc="B6824CA6">
      <w:start w:val="1"/>
      <w:numFmt w:val="lowerLetter"/>
      <w:lvlText w:val="%5."/>
      <w:lvlJc w:val="left"/>
      <w:pPr>
        <w:ind w:left="3600" w:hanging="360"/>
      </w:pPr>
    </w:lvl>
    <w:lvl w:ilvl="5" w:tplc="F61E618A">
      <w:start w:val="1"/>
      <w:numFmt w:val="lowerRoman"/>
      <w:lvlText w:val="%6."/>
      <w:lvlJc w:val="right"/>
      <w:pPr>
        <w:ind w:left="4320" w:hanging="180"/>
      </w:pPr>
    </w:lvl>
    <w:lvl w:ilvl="6" w:tplc="3F82D784">
      <w:start w:val="1"/>
      <w:numFmt w:val="decimal"/>
      <w:lvlText w:val="%7."/>
      <w:lvlJc w:val="left"/>
      <w:pPr>
        <w:ind w:left="5040" w:hanging="360"/>
      </w:pPr>
    </w:lvl>
    <w:lvl w:ilvl="7" w:tplc="821E2D80">
      <w:start w:val="1"/>
      <w:numFmt w:val="lowerLetter"/>
      <w:lvlText w:val="%8."/>
      <w:lvlJc w:val="left"/>
      <w:pPr>
        <w:ind w:left="5760" w:hanging="360"/>
      </w:pPr>
    </w:lvl>
    <w:lvl w:ilvl="8" w:tplc="D27A0FD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FCF645"/>
    <w:multiLevelType w:val="hybridMultilevel"/>
    <w:tmpl w:val="0D6C3FBC"/>
    <w:lvl w:ilvl="0" w:tplc="6FE2B5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AA56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386F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ACA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F41E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FCC6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7E8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D08D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B001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0790126">
    <w:abstractNumId w:val="1"/>
  </w:num>
  <w:num w:numId="2" w16cid:durableId="1998680911">
    <w:abstractNumId w:val="2"/>
  </w:num>
  <w:num w:numId="3" w16cid:durableId="1718237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280AA9E"/>
    <w:rsid w:val="000B0562"/>
    <w:rsid w:val="000D6BF4"/>
    <w:rsid w:val="001534D1"/>
    <w:rsid w:val="001E09F0"/>
    <w:rsid w:val="001E7DA5"/>
    <w:rsid w:val="00204472"/>
    <w:rsid w:val="00240AC6"/>
    <w:rsid w:val="002B030F"/>
    <w:rsid w:val="004A71B7"/>
    <w:rsid w:val="005D1EED"/>
    <w:rsid w:val="00601BF1"/>
    <w:rsid w:val="0068478E"/>
    <w:rsid w:val="006B7E67"/>
    <w:rsid w:val="006E701A"/>
    <w:rsid w:val="007D5291"/>
    <w:rsid w:val="00856A2E"/>
    <w:rsid w:val="00885171"/>
    <w:rsid w:val="008B790B"/>
    <w:rsid w:val="008D1938"/>
    <w:rsid w:val="00932E74"/>
    <w:rsid w:val="009C49AC"/>
    <w:rsid w:val="009F418B"/>
    <w:rsid w:val="009F58D2"/>
    <w:rsid w:val="009F59DD"/>
    <w:rsid w:val="00A625BE"/>
    <w:rsid w:val="00AA01E1"/>
    <w:rsid w:val="00BB1040"/>
    <w:rsid w:val="00BC4E82"/>
    <w:rsid w:val="00BD6B7F"/>
    <w:rsid w:val="00C63B82"/>
    <w:rsid w:val="00CC2994"/>
    <w:rsid w:val="00D5164F"/>
    <w:rsid w:val="00D7524F"/>
    <w:rsid w:val="00DF25EE"/>
    <w:rsid w:val="00E97BAA"/>
    <w:rsid w:val="00FB6715"/>
    <w:rsid w:val="00FC01DF"/>
    <w:rsid w:val="032B4859"/>
    <w:rsid w:val="1DD44533"/>
    <w:rsid w:val="3280AA9E"/>
    <w:rsid w:val="392D61C8"/>
    <w:rsid w:val="3B12DDC9"/>
    <w:rsid w:val="54FA4BAA"/>
    <w:rsid w:val="5625984F"/>
    <w:rsid w:val="5EAA28E3"/>
    <w:rsid w:val="6160EDD1"/>
    <w:rsid w:val="6394EFB4"/>
    <w:rsid w:val="6639F101"/>
    <w:rsid w:val="68E42554"/>
    <w:rsid w:val="73CCF53A"/>
    <w:rsid w:val="7D6CC77E"/>
    <w:rsid w:val="7FC39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6DFD56"/>
  <w15:chartTrackingRefBased/>
  <w15:docId w15:val="{966A70E2-A93E-47DD-A97B-B3211E238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68E42554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FB67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6715"/>
  </w:style>
  <w:style w:type="paragraph" w:styleId="Footer">
    <w:name w:val="footer"/>
    <w:basedOn w:val="Normal"/>
    <w:link w:val="FooterChar"/>
    <w:uiPriority w:val="99"/>
    <w:unhideWhenUsed/>
    <w:rsid w:val="00FB67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6715"/>
  </w:style>
  <w:style w:type="paragraph" w:customStyle="1" w:styleId="paragraph">
    <w:name w:val="paragraph"/>
    <w:basedOn w:val="Normal"/>
    <w:rsid w:val="008D19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normaltextrun">
    <w:name w:val="normaltextrun"/>
    <w:basedOn w:val="DefaultParagraphFont"/>
    <w:rsid w:val="008D1938"/>
  </w:style>
  <w:style w:type="character" w:customStyle="1" w:styleId="eop">
    <w:name w:val="eop"/>
    <w:basedOn w:val="DefaultParagraphFont"/>
    <w:rsid w:val="008D19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556</Words>
  <Characters>3242</Characters>
  <Application>Microsoft Office Word</Application>
  <DocSecurity>0</DocSecurity>
  <Lines>120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Molly Gill</dc:creator>
  <cp:keywords/>
  <dc:description/>
  <cp:lastModifiedBy>Gina Valderrama</cp:lastModifiedBy>
  <cp:revision>20</cp:revision>
  <dcterms:created xsi:type="dcterms:W3CDTF">2026-01-30T20:55:00Z</dcterms:created>
  <dcterms:modified xsi:type="dcterms:W3CDTF">2026-05-06T23:48:00Z</dcterms:modified>
</cp:coreProperties>
</file>