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how-to-admin-setup"/>
    <w:p>
      <w:pPr>
        <w:pStyle w:val="Heading1"/>
      </w:pPr>
      <w:r>
        <w:t xml:space="preserve">How-To: Admin &amp; Setup</w:t>
      </w:r>
    </w:p>
    <w:p>
      <w:pPr>
        <w:pStyle w:val="FirstParagraph"/>
      </w:pPr>
      <w:r>
        <w:t xml:space="preserve">Tasks for platform and organisation administrators. For the full reference see the</w:t>
      </w:r>
      <w:r>
        <w:t xml:space="preserve"> </w:t>
      </w:r>
      <w:hyperlink r:id="rId9">
        <w:r>
          <w:rPr>
            <w:rStyle w:val="Hyperlink"/>
          </w:rPr>
          <w:t xml:space="preserve">Admin Guide</w:t>
        </w:r>
      </w:hyperlink>
      <w:r>
        <w:t xml:space="preserve">.</w:t>
      </w:r>
    </w:p>
    <w:bookmarkStart w:id="10" w:name="how-do-i-get-a-new-organisation-set-up"/>
    <w:p>
      <w:pPr>
        <w:pStyle w:val="Heading2"/>
      </w:pPr>
      <w:r>
        <w:t xml:space="preserve">How do I get a new organisation set up?</w:t>
      </w:r>
    </w:p>
    <w:p>
      <w:pPr>
        <w:pStyle w:val="FirstParagraph"/>
      </w:pPr>
      <w:r>
        <w:t xml:space="preserve">Run the</w:t>
      </w:r>
      <w:r>
        <w:t xml:space="preserve"> </w:t>
      </w:r>
      <w:r>
        <w:rPr>
          <w:b/>
          <w:bCs/>
        </w:rPr>
        <w:t xml:space="preserve">Setup Wizard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/app/onboarding-wizard</w:t>
      </w:r>
      <w:r>
        <w:t xml:space="preserve">). It walks you through the initial</w:t>
      </w:r>
      <w:r>
        <w:t xml:space="preserve"> </w:t>
      </w:r>
      <w:r>
        <w:t xml:space="preserve">configuration. After that, the typical first steps are: set your admin profile, invite</w:t>
      </w:r>
      <w:r>
        <w:t xml:space="preserve"> </w:t>
      </w:r>
      <w:r>
        <w:t xml:space="preserve">users, define SLA policies, configure categories, and connect integrations — see the</w:t>
      </w:r>
      <w:r>
        <w:t xml:space="preserve"> </w:t>
      </w:r>
      <w:hyperlink r:id="rId9">
        <w:r>
          <w:rPr>
            <w:rStyle w:val="Hyperlink"/>
          </w:rPr>
          <w:t xml:space="preserve">Admin Guide</w:t>
        </w:r>
      </w:hyperlink>
      <w:r>
        <w:t xml:space="preserve"> </w:t>
      </w:r>
      <w:r>
        <w:t xml:space="preserve">for detail on each.</w:t>
      </w:r>
    </w:p>
    <w:bookmarkEnd w:id="10"/>
    <w:bookmarkStart w:id="11" w:name="how-do-i-add-a-custom-field"/>
    <w:p>
      <w:pPr>
        <w:pStyle w:val="Heading2"/>
      </w:pPr>
      <w:r>
        <w:t xml:space="preserve">How do I add a custom field?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Administration → Custom Fields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/app/admin/custom-fields</w:t>
      </w:r>
      <w:r>
        <w:t xml:space="preserve">). Add a field and</w:t>
      </w:r>
      <w:r>
        <w:t xml:space="preserve"> </w:t>
      </w:r>
      <w:r>
        <w:t xml:space="preserve">choose its type (text, number, date, dropdown, checkbox, or multi-select). You can make</w:t>
      </w:r>
      <w:r>
        <w:t xml:space="preserve"> </w:t>
      </w:r>
      <w:r>
        <w:t xml:space="preserve">a field required for specific record types or categories.</w:t>
      </w:r>
    </w:p>
    <w:bookmarkEnd w:id="11"/>
    <w:bookmarkStart w:id="12" w:name="how-do-i-connect-an-integration"/>
    <w:p>
      <w:pPr>
        <w:pStyle w:val="Heading2"/>
      </w:pPr>
      <w:r>
        <w:t xml:space="preserve">How do I connect an integration?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Settings → Integrations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/app/settings/integrations</w:t>
      </w:r>
      <w:r>
        <w:t xml:space="preserve">) and connect the</w:t>
      </w:r>
      <w:r>
        <w:t xml:space="preserve"> </w:t>
      </w:r>
      <w:r>
        <w:t xml:space="preserve">third-party services your team uses. Channel-specific options (email, SMS, chat) live</w:t>
      </w:r>
      <w:r>
        <w:t xml:space="preserve"> </w:t>
      </w:r>
      <w:r>
        <w:t xml:space="preserve">under</w:t>
      </w:r>
      <w:r>
        <w:t xml:space="preserve"> </w:t>
      </w:r>
      <w:r>
        <w:rPr>
          <w:b/>
          <w:bCs/>
        </w:rPr>
        <w:t xml:space="preserve">Settings → Omnichannel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/app/settings/omnichannel</w:t>
      </w:r>
      <w:r>
        <w:t xml:space="preserve">).</w:t>
      </w:r>
    </w:p>
    <w:bookmarkEnd w:id="12"/>
    <w:bookmarkStart w:id="13" w:name="how-do-i-set-up-a-webhook"/>
    <w:p>
      <w:pPr>
        <w:pStyle w:val="Heading2"/>
      </w:pPr>
      <w:r>
        <w:t xml:space="preserve">How do I set up a webhook?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/>
          <w:bCs/>
        </w:rPr>
        <w:t xml:space="preserve">Settings → Webhooks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/app/settings/webhooks</w:t>
      </w:r>
      <w:r>
        <w:t xml:space="preserve">) and register an endpoint</w:t>
      </w:r>
      <w:r>
        <w:t xml:space="preserve"> </w:t>
      </w:r>
      <w:r>
        <w:t xml:space="preserve">URL. Webhooks let external systems receive events from CoheronConnect as they happen.</w:t>
      </w:r>
    </w:p>
    <w:bookmarkEnd w:id="13"/>
    <w:bookmarkStart w:id="15" w:name="how-do-i-create-an-api-key"/>
    <w:p>
      <w:pPr>
        <w:pStyle w:val="Heading2"/>
      </w:pPr>
      <w:r>
        <w:t xml:space="preserve">How do I create an API key?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Settings → API Keys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/app/settings/api-keys</w:t>
      </w:r>
      <w:r>
        <w:t xml:space="preserve">) and generate a key. Use it as</w:t>
      </w:r>
      <w:r>
        <w:t xml:space="preserve"> </w:t>
      </w:r>
      <w:r>
        <w:t xml:space="preserve">a bearer token when calling the API (see the</w:t>
      </w:r>
      <w:r>
        <w:t xml:space="preserve"> </w:t>
      </w:r>
      <w:hyperlink r:id="rId14">
        <w:r>
          <w:rPr>
            <w:rStyle w:val="Hyperlink"/>
          </w:rPr>
          <w:t xml:space="preserve">API Reference</w:t>
        </w:r>
      </w:hyperlink>
      <w:r>
        <w:t xml:space="preserve">). Treat</w:t>
      </w:r>
      <w:r>
        <w:t xml:space="preserve"> </w:t>
      </w:r>
      <w:r>
        <w:t xml:space="preserve">keys as secrets — store them securely and rotate them periodically.</w:t>
      </w:r>
    </w:p>
    <w:bookmarkEnd w:id="15"/>
    <w:bookmarkStart w:id="17" w:name="how-do-i-configure-an-approval-chain"/>
    <w:p>
      <w:pPr>
        <w:pStyle w:val="Heading2"/>
      </w:pPr>
      <w:r>
        <w:t xml:space="preserve">How do I configure an approval chain?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Flow Designer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/app/flows</w:t>
      </w:r>
      <w:r>
        <w:t xml:space="preserve">) to model approval routing with triggers,</w:t>
      </w:r>
      <w:r>
        <w:t xml:space="preserve"> </w:t>
      </w:r>
      <w:r>
        <w:t xml:space="preserve">conditions, and actions. Approvals route by the org hierarchy by default; multi-step</w:t>
      </w:r>
      <w:r>
        <w:t xml:space="preserve"> </w:t>
      </w:r>
      <w:r>
        <w:t xml:space="preserve">chains (e.g. department head → CFO) run sequentially. See</w:t>
      </w:r>
      <w:r>
        <w:t xml:space="preserve"> </w:t>
      </w:r>
      <w:hyperlink r:id="rId16">
        <w:r>
          <w:rPr>
            <w:rStyle w:val="Hyperlink"/>
          </w:rPr>
          <w:t xml:space="preserve">Approvals &amp;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Workflow</w:t>
        </w:r>
      </w:hyperlink>
      <w:r>
        <w:t xml:space="preserve">.</w:t>
      </w:r>
    </w:p>
    <w:bookmarkEnd w:id="17"/>
    <w:bookmarkStart w:id="18" w:name="Xa3dad9937a6922ae60858854e84cc3d691c5cf5"/>
    <w:p>
      <w:pPr>
        <w:pStyle w:val="Heading2"/>
      </w:pPr>
      <w:r>
        <w:t xml:space="preserve">How is my data kept separate from other tenants?</w:t>
      </w:r>
    </w:p>
    <w:p>
      <w:pPr>
        <w:pStyle w:val="FirstParagraph"/>
      </w:pPr>
      <w:r>
        <w:t xml:space="preserve">Every record is scoped to an organisation (</w:t>
      </w:r>
      <w:r>
        <w:rPr>
          <w:rStyle w:val="VerbatimChar"/>
        </w:rPr>
        <w:t xml:space="preserve">orgId</w:t>
      </w:r>
      <w:r>
        <w:t xml:space="preserve">), and all queries are isolated per</w:t>
      </w:r>
      <w:r>
        <w:t xml:space="preserve"> </w:t>
      </w:r>
      <w:r>
        <w:t xml:space="preserve">tenant — there is no cross-organisation data access. Administrative actions are</w:t>
      </w:r>
      <w:r>
        <w:t xml:space="preserve"> </w:t>
      </w:r>
      <w:r>
        <w:t xml:space="preserve">recorded in the audit log.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/admin-guide" TargetMode="External" /><Relationship Type="http://schemas.openxmlformats.org/officeDocument/2006/relationships/hyperlink" Id="rId14" Target="/api-reference" TargetMode="External" /><Relationship Type="http://schemas.openxmlformats.org/officeDocument/2006/relationships/hyperlink" Id="rId16" Target="/modules/approv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admin-guide" TargetMode="External" /><Relationship Type="http://schemas.openxmlformats.org/officeDocument/2006/relationships/hyperlink" Id="rId14" Target="/api-reference" TargetMode="External" /><Relationship Type="http://schemas.openxmlformats.org/officeDocument/2006/relationships/hyperlink" Id="rId16" Target="/modules/approv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2026-06-30T12:23:19Z</dcterms:created>
  <dcterms:modified xsi:type="dcterms:W3CDTF">2026-06-30T12:23:19Z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