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how-to-finance-procurement"/>
    <w:p>
      <w:pPr>
        <w:pStyle w:val="Heading1"/>
      </w:pPr>
      <w:r>
        <w:t xml:space="preserve">How-To: Finance &amp; Procurement</w:t>
      </w:r>
    </w:p>
    <w:p>
      <w:pPr>
        <w:pStyle w:val="FirstParagraph"/>
      </w:pPr>
      <w:r>
        <w:t xml:space="preserve">Tasks for finance and procurement teams. Full references:</w:t>
      </w:r>
      <w:r>
        <w:t xml:space="preserve"> </w:t>
      </w:r>
      <w:hyperlink r:id="rId9">
        <w:r>
          <w:rPr>
            <w:rStyle w:val="Hyperlink"/>
          </w:rPr>
          <w:t xml:space="preserve">Accounting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Procurement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Vendors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GST &amp; TDS</w:t>
        </w:r>
      </w:hyperlink>
      <w:r>
        <w:t xml:space="preserve">.</w:t>
      </w:r>
    </w:p>
    <w:bookmarkStart w:id="13" w:name="how-do-i-post-a-journal-entry"/>
    <w:p>
      <w:pPr>
        <w:pStyle w:val="Heading2"/>
      </w:pPr>
      <w:r>
        <w:t xml:space="preserve">How do I post a journal entry?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Finance &amp; Procurement → Journal Entries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/app/finance/accounting/journal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Create an entry and add at least two lines, each with a debit or credit and a</w:t>
      </w:r>
      <w:r>
        <w:t xml:space="preserve"> </w:t>
      </w:r>
      <w:r>
        <w:t xml:space="preserve">description.</w:t>
      </w:r>
    </w:p>
    <w:p>
      <w:pPr>
        <w:pStyle w:val="Compact"/>
        <w:numPr>
          <w:ilvl w:val="0"/>
          <w:numId w:val="1001"/>
        </w:numPr>
      </w:pPr>
      <w:r>
        <w:t xml:space="preserve">Make sure</w:t>
      </w:r>
      <w:r>
        <w:t xml:space="preserve"> </w:t>
      </w:r>
      <w:r>
        <w:rPr>
          <w:b/>
          <w:bCs/>
        </w:rPr>
        <w:t xml:space="preserve">total debits equal total credits</w:t>
      </w:r>
      <w:r>
        <w:t xml:space="preserve"> </w:t>
      </w:r>
      <w:r>
        <w:t xml:space="preserve">— they must match within ±0.001 or</w:t>
      </w:r>
      <w:r>
        <w:t xml:space="preserve"> </w:t>
      </w:r>
      <w:r>
        <w:t xml:space="preserve">the entry is rejected.</w:t>
      </w:r>
    </w:p>
    <w:p>
      <w:pPr>
        <w:pStyle w:val="Compact"/>
        <w:numPr>
          <w:ilvl w:val="0"/>
          <w:numId w:val="1001"/>
        </w:numPr>
      </w:pPr>
      <w:r>
        <w:t xml:space="preserve">Post the entry. The affected account balances update immediately.</w:t>
      </w:r>
    </w:p>
    <w:bookmarkEnd w:id="13"/>
    <w:bookmarkStart w:id="14" w:name="why-was-my-journal-entry-rejected"/>
    <w:p>
      <w:pPr>
        <w:pStyle w:val="Heading2"/>
      </w:pPr>
      <w:r>
        <w:t xml:space="preserve">Why was my journal entry rejected?</w:t>
      </w:r>
    </w:p>
    <w:p>
      <w:pPr>
        <w:pStyle w:val="FirstParagraph"/>
      </w:pPr>
      <w:r>
        <w:t xml:space="preserve">It didn’t balance. The sum of debits must equal the sum of credits within a tolerance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0.001</w:t>
      </w:r>
      <w:r>
        <w:t xml:space="preserve">. Check for a missing or mistyped line amount.</w:t>
      </w:r>
    </w:p>
    <w:bookmarkEnd w:id="14"/>
    <w:bookmarkStart w:id="15" w:name="how-do-i-reverse-a-journal-entry"/>
    <w:p>
      <w:pPr>
        <w:pStyle w:val="Heading2"/>
      </w:pPr>
      <w:r>
        <w:t xml:space="preserve">How do I reverse a journal entry?</w:t>
      </w:r>
    </w:p>
    <w:p>
      <w:pPr>
        <w:pStyle w:val="FirstParagraph"/>
      </w:pPr>
      <w:r>
        <w:t xml:space="preserve">Select the posted entry and create a reversal. The system creates a new entry with the</w:t>
      </w:r>
      <w:r>
        <w:t xml:space="preserve"> </w:t>
      </w:r>
      <w:r>
        <w:t xml:space="preserve">debits and credits</w:t>
      </w:r>
      <w:r>
        <w:t xml:space="preserve"> </w:t>
      </w:r>
      <w:r>
        <w:rPr>
          <w:b/>
          <w:bCs/>
        </w:rPr>
        <w:t xml:space="preserve">swapped</w:t>
      </w:r>
      <w:r>
        <w:t xml:space="preserve">, marks the original as</w:t>
      </w:r>
      <w:r>
        <w:t xml:space="preserve"> </w:t>
      </w:r>
      <w:r>
        <w:rPr>
          <w:b/>
          <w:bCs/>
        </w:rPr>
        <w:t xml:space="preserve">reversed</w:t>
      </w:r>
      <w:r>
        <w:t xml:space="preserve">, and posts the</w:t>
      </w:r>
      <w:r>
        <w:t xml:space="preserve"> </w:t>
      </w:r>
      <w:r>
        <w:t xml:space="preserve">reversal. You can set a custom reversal date (for example, the next month).</w:t>
      </w:r>
    </w:p>
    <w:bookmarkEnd w:id="15"/>
    <w:bookmarkStart w:id="16" w:name="how-do-i-reconcile-a-bank-statement"/>
    <w:p>
      <w:pPr>
        <w:pStyle w:val="Heading2"/>
      </w:pPr>
      <w:r>
        <w:t xml:space="preserve">How do I reconcile a bank statement?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Bank Reconciliation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/app/finance/accounting/reconciliation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Create a statement</w:t>
      </w:r>
      <w:r>
        <w:t xml:space="preserve"> </w:t>
      </w:r>
      <w:r>
        <w:t xml:space="preserve">with the account, period, and the bank’s closing balance.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Import transactions</w:t>
      </w:r>
      <w:r>
        <w:t xml:space="preserve"> </w:t>
      </w:r>
      <w:r>
        <w:t xml:space="preserve">(CSV or manual).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Suggest matches</w:t>
      </w:r>
      <w:r>
        <w:t xml:space="preserve"> </w:t>
      </w:r>
      <w:r>
        <w:t xml:space="preserve">— the system proposes links to journal entries by amount,</w:t>
      </w:r>
      <w:r>
        <w:t xml:space="preserve"> </w:t>
      </w:r>
      <w:r>
        <w:t xml:space="preserve">date, and description.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Confirm</w:t>
      </w:r>
      <w:r>
        <w:t xml:space="preserve"> </w:t>
      </w:r>
      <w:r>
        <w:t xml:space="preserve">each match, or</w:t>
      </w:r>
      <w:r>
        <w:t xml:space="preserve"> </w:t>
      </w:r>
      <w:r>
        <w:rPr>
          <w:b/>
          <w:bCs/>
        </w:rPr>
        <w:t xml:space="preserve">Ignore</w:t>
      </w:r>
      <w:r>
        <w:t xml:space="preserve"> </w:t>
      </w:r>
      <w:r>
        <w:t xml:space="preserve">a transaction booked elsewhere.</w:t>
      </w:r>
    </w:p>
    <w:p>
      <w:pPr>
        <w:pStyle w:val="Compact"/>
        <w:numPr>
          <w:ilvl w:val="0"/>
          <w:numId w:val="1002"/>
        </w:numPr>
      </w:pPr>
      <w:r>
        <w:t xml:space="preserve">Once every transaction is matched or ignored,</w:t>
      </w:r>
      <w:r>
        <w:t xml:space="preserve"> </w:t>
      </w:r>
      <w:r>
        <w:rPr>
          <w:b/>
          <w:bCs/>
        </w:rPr>
        <w:t xml:space="preserve">Reconcile</w:t>
      </w:r>
      <w:r>
        <w:t xml:space="preserve"> </w:t>
      </w:r>
      <w:r>
        <w:t xml:space="preserve">to lock the statement.</w:t>
      </w:r>
    </w:p>
    <w:bookmarkEnd w:id="16"/>
    <w:bookmarkStart w:id="17" w:name="how-do-i-generate-a-gst-return"/>
    <w:p>
      <w:pPr>
        <w:pStyle w:val="Heading2"/>
      </w:pPr>
      <w:r>
        <w:t xml:space="preserve">How do I generate a GST return?</w:t>
      </w:r>
    </w:p>
    <w:p>
      <w:pPr>
        <w:pStyle w:val="FirstParagraph"/>
      </w:pPr>
      <w:r>
        <w:t xml:space="preserve">From the Accounting module you can produce</w:t>
      </w:r>
      <w:r>
        <w:t xml:space="preserve"> </w:t>
      </w:r>
      <w:r>
        <w:rPr>
          <w:b/>
          <w:bCs/>
        </w:rPr>
        <w:t xml:space="preserve">GSTR-1</w:t>
      </w:r>
      <w:r>
        <w:t xml:space="preserve"> </w:t>
      </w:r>
      <w:r>
        <w:t xml:space="preserve">(outward supplies, grouped B2B</w:t>
      </w:r>
      <w:r>
        <w:t xml:space="preserve"> </w:t>
      </w:r>
      <w:r>
        <w:t xml:space="preserve">and B2C) and</w:t>
      </w:r>
      <w:r>
        <w:t xml:space="preserve"> </w:t>
      </w:r>
      <w:r>
        <w:rPr>
          <w:b/>
          <w:bCs/>
        </w:rPr>
        <w:t xml:space="preserve">GSTR-3B</w:t>
      </w:r>
      <w:r>
        <w:t xml:space="preserve"> </w:t>
      </w:r>
      <w:r>
        <w:t xml:space="preserve">(summary with outward supplies, input tax credit, and any</w:t>
      </w:r>
      <w:r>
        <w:t xml:space="preserve"> </w:t>
      </w:r>
      <w:r>
        <w:t xml:space="preserve">interest). Both export in a GST-portal-compatible format. See</w:t>
      </w:r>
      <w:r>
        <w:t xml:space="preserve"> </w:t>
      </w:r>
      <w:hyperlink r:id="rId12">
        <w:r>
          <w:rPr>
            <w:rStyle w:val="Hyperlink"/>
          </w:rPr>
          <w:t xml:space="preserve">GST 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TDS</w:t>
        </w:r>
      </w:hyperlink>
      <w:r>
        <w:t xml:space="preserve"> </w:t>
      </w:r>
      <w:r>
        <w:t xml:space="preserve">for how CGST/SGST/IGST are split.</w:t>
      </w:r>
    </w:p>
    <w:bookmarkEnd w:id="17"/>
    <w:bookmarkStart w:id="18" w:name="how-do-i-raise-a-purchase-request"/>
    <w:p>
      <w:pPr>
        <w:pStyle w:val="Heading2"/>
      </w:pPr>
      <w:r>
        <w:t xml:space="preserve">How do I raise a purchase request?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Finance &amp; Procurement → Procurement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Create a purchase request and add line items (description, quantity, unit price).</w:t>
      </w:r>
    </w:p>
    <w:p>
      <w:pPr>
        <w:pStyle w:val="Compact"/>
        <w:numPr>
          <w:ilvl w:val="0"/>
          <w:numId w:val="1003"/>
        </w:numPr>
      </w:pPr>
      <w:r>
        <w:t xml:space="preserve">Submit. Depending on the total, it is auto-approved below the threshold, or routed</w:t>
      </w:r>
      <w:r>
        <w:t xml:space="preserve"> </w:t>
      </w:r>
      <w:r>
        <w:t xml:space="preserve">to a department head or VP Finance.</w:t>
      </w:r>
    </w:p>
    <w:p>
      <w:pPr>
        <w:pStyle w:val="FirstParagraph"/>
      </w:pPr>
      <w:r>
        <w:t xml:space="preserve">The approval route is fixed when the request is created and can’t be changed</w:t>
      </w:r>
      <w:r>
        <w:t xml:space="preserve"> </w:t>
      </w:r>
      <w:r>
        <w:t xml:space="preserve">afterwards.</w:t>
      </w:r>
    </w:p>
    <w:bookmarkEnd w:id="18"/>
    <w:bookmarkStart w:id="19" w:name="why-is-an-invoice-blocked-from-payment"/>
    <w:p>
      <w:pPr>
        <w:pStyle w:val="Heading2"/>
      </w:pPr>
      <w:r>
        <w:t xml:space="preserve">Why is an invoice blocked from payment?</w:t>
      </w:r>
    </w:p>
    <w:p>
      <w:pPr>
        <w:pStyle w:val="FirstParagraph"/>
      </w:pPr>
      <w:r>
        <w:t xml:space="preserve">It failed the</w:t>
      </w:r>
      <w:r>
        <w:t xml:space="preserve"> </w:t>
      </w:r>
      <w:r>
        <w:rPr>
          <w:b/>
          <w:bCs/>
        </w:rPr>
        <w:t xml:space="preserve">three-way match</w:t>
      </w:r>
      <w:r>
        <w:t xml:space="preserve">. The invoice, the purchase order, and the goods</w:t>
      </w:r>
      <w:r>
        <w:t xml:space="preserve"> </w:t>
      </w:r>
      <w:r>
        <w:t xml:space="preserve">receipt note must agree within tolerance — at the header, at the line level, and on the</w:t>
      </w:r>
      <w:r>
        <w:t xml:space="preserve"> </w:t>
      </w:r>
      <w:r>
        <w:t xml:space="preserve">received value. Open the match result to see the per-line deltas and find where the</w:t>
      </w:r>
      <w:r>
        <w:t xml:space="preserve"> </w:t>
      </w:r>
      <w:r>
        <w:t xml:space="preserve">variance is. A common cause is the invoice being tagged to a</w:t>
      </w:r>
      <w:r>
        <w:t xml:space="preserve"> </w:t>
      </w:r>
      <w:r>
        <w:rPr>
          <w:b/>
          <w:bCs/>
        </w:rPr>
        <w:t xml:space="preserve">different legal</w:t>
      </w:r>
      <w:r>
        <w:rPr>
          <w:b/>
          <w:bCs/>
        </w:rPr>
        <w:t xml:space="preserve"> </w:t>
      </w:r>
      <w:r>
        <w:rPr>
          <w:b/>
          <w:bCs/>
        </w:rPr>
        <w:t xml:space="preserve">entity</w:t>
      </w:r>
      <w:r>
        <w:t xml:space="preserve"> </w:t>
      </w:r>
      <w:r>
        <w:t xml:space="preserve">than the PO.</w:t>
      </w:r>
    </w:p>
    <w:bookmarkEnd w:id="19"/>
    <w:bookmarkStart w:id="20" w:name="how-do-i-add-vendors-in-bulk"/>
    <w:p>
      <w:pPr>
        <w:pStyle w:val="Heading2"/>
      </w:pPr>
      <w:r>
        <w:t xml:space="preserve">How do I add vendors in bulk?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/>
          <w:bCs/>
        </w:rPr>
        <w:t xml:space="preserve">Vendors</w:t>
      </w:r>
      <w:r>
        <w:t xml:space="preserve"> </w:t>
      </w:r>
      <w:r>
        <w:t xml:space="preserve">page, use the CSV import. Map your columns to the vendor fields</w:t>
      </w:r>
      <w:r>
        <w:t xml:space="preserve"> </w:t>
      </w:r>
      <w:r>
        <w:t xml:space="preserve">(name, type, GSTIN, PAN, email, phone, address, state, payment terms) and load them all</w:t>
      </w:r>
      <w:r>
        <w:t xml:space="preserve"> </w:t>
      </w:r>
      <w:r>
        <w:t xml:space="preserve">at once. To add a single vendor, use</w:t>
      </w:r>
      <w:r>
        <w:t xml:space="preserve"> </w:t>
      </w:r>
      <w:r>
        <w:rPr>
          <w:b/>
          <w:bCs/>
        </w:rPr>
        <w:t xml:space="preserve">Add Vendor</w:t>
      </w:r>
      <w:r>
        <w:t xml:space="preserve"> </w:t>
      </w:r>
      <w:r>
        <w:t xml:space="preserve">instead.</w:t>
      </w:r>
    </w:p>
    <w:bookmarkEnd w:id="20"/>
    <w:bookmarkStart w:id="21" w:name="X58ceef87e90f0841b92fccf2b7abbed935bff8a"/>
    <w:p>
      <w:pPr>
        <w:pStyle w:val="Heading2"/>
      </w:pPr>
      <w:r>
        <w:t xml:space="preserve">How do I see which contracts are about to expire?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Vendors</w:t>
      </w:r>
      <w:r>
        <w:t xml:space="preserve"> </w:t>
      </w:r>
      <w:r>
        <w:t xml:space="preserve">tab shows a KPI card for contracts</w:t>
      </w:r>
      <w:r>
        <w:t xml:space="preserve"> </w:t>
      </w:r>
      <w:r>
        <w:rPr>
          <w:b/>
          <w:bCs/>
        </w:rPr>
        <w:t xml:space="preserve">expiring in the next 90 days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Contracts</w:t>
      </w:r>
      <w:r>
        <w:t xml:space="preserve"> </w:t>
      </w:r>
      <w:r>
        <w:t xml:space="preserve">tab lists every contract with its end date and auto-renew flag.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modules/accounting" TargetMode="External" /><Relationship Type="http://schemas.openxmlformats.org/officeDocument/2006/relationships/hyperlink" Id="rId12" Target="/modules/india-tax" TargetMode="External" /><Relationship Type="http://schemas.openxmlformats.org/officeDocument/2006/relationships/hyperlink" Id="rId10" Target="/modules/procurement" TargetMode="External" /><Relationship Type="http://schemas.openxmlformats.org/officeDocument/2006/relationships/hyperlink" Id="rId11" Target="/modules/vend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modules/accounting" TargetMode="External" /><Relationship Type="http://schemas.openxmlformats.org/officeDocument/2006/relationships/hyperlink" Id="rId12" Target="/modules/india-tax" TargetMode="External" /><Relationship Type="http://schemas.openxmlformats.org/officeDocument/2006/relationships/hyperlink" Id="rId10" Target="/modules/procurement" TargetMode="External" /><Relationship Type="http://schemas.openxmlformats.org/officeDocument/2006/relationships/hyperlink" Id="rId11" Target="/modules/vend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2026-06-30T12:23:19Z</dcterms:created>
  <dcterms:modified xsi:type="dcterms:W3CDTF">2026-06-30T12:23:19Z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