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ow-to-hr-payroll"/>
    <w:p>
      <w:pPr>
        <w:pStyle w:val="Heading1"/>
      </w:pPr>
      <w:r>
        <w:t xml:space="preserve">How-To: HR &amp; Payroll</w:t>
      </w:r>
    </w:p>
    <w:p>
      <w:pPr>
        <w:pStyle w:val="FirstParagraph"/>
      </w:pPr>
      <w:r>
        <w:t xml:space="preserve">Tasks for HR and payroll administrators. For the full reference see the</w:t>
      </w:r>
      <w:r>
        <w:t xml:space="preserve"> </w:t>
      </w:r>
      <w:hyperlink r:id="rId9">
        <w:r>
          <w:rPr>
            <w:rStyle w:val="Hyperlink"/>
          </w:rPr>
          <w:t xml:space="preserve">Payroll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HR</w:t>
        </w:r>
      </w:hyperlink>
      <w:r>
        <w:t xml:space="preserve"> </w:t>
      </w:r>
      <w:r>
        <w:t xml:space="preserve">guides.</w:t>
      </w:r>
    </w:p>
    <w:bookmarkStart w:id="11" w:name="how-do-i-run-payroll"/>
    <w:p>
      <w:pPr>
        <w:pStyle w:val="Heading2"/>
      </w:pPr>
      <w:r>
        <w:t xml:space="preserve">How do I run payroll?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People &amp; Workplace → Payroll</w:t>
      </w:r>
      <w:r>
        <w:t xml:space="preserve"> </w:t>
      </w:r>
      <w:r>
        <w:t xml:space="preserve">and open the</w:t>
      </w:r>
      <w:r>
        <w:t xml:space="preserve"> </w:t>
      </w:r>
      <w:r>
        <w:rPr>
          <w:b/>
          <w:bCs/>
        </w:rPr>
        <w:t xml:space="preserve">Payroll Runs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run</w:t>
      </w:r>
      <w:r>
        <w:t xml:space="preserve">, pick the month and year, and confirm the employee roster.</w:t>
      </w:r>
    </w:p>
    <w:p>
      <w:pPr>
        <w:pStyle w:val="Compact"/>
        <w:numPr>
          <w:ilvl w:val="0"/>
          <w:numId w:val="1001"/>
        </w:numPr>
      </w:pPr>
      <w:r>
        <w:t xml:space="preserve">Work through the 12 steps in order, clicking</w:t>
      </w:r>
      <w:r>
        <w:t xml:space="preserve"> </w:t>
      </w:r>
      <w:r>
        <w:rPr>
          <w:b/>
          <w:bCs/>
        </w:rPr>
        <w:t xml:space="preserve">Execute</w:t>
      </w:r>
      <w:r>
        <w:t xml:space="preserve"> </w:t>
      </w:r>
      <w:r>
        <w:t xml:space="preserve">on the current step:</w:t>
      </w:r>
      <w:r>
        <w:t xml:space="preserve"> </w:t>
      </w:r>
      <w:r>
        <w:t xml:space="preserve">Draft → Period locked → Gross → PF → ESI → PT → LWF → TDS → Payslips → HR approval</w:t>
      </w:r>
      <w:r>
        <w:t xml:space="preserve"> </w:t>
      </w:r>
      <w:r>
        <w:t xml:space="preserve">→ Finance approval → CFO approval → Statutory → Completed.</w:t>
      </w:r>
    </w:p>
    <w:p>
      <w:pPr>
        <w:pStyle w:val="Compact"/>
        <w:numPr>
          <w:ilvl w:val="0"/>
          <w:numId w:val="1001"/>
        </w:numPr>
      </w:pPr>
      <w:r>
        <w:t xml:space="preserve">Review the KPI cards (gross, deductions, net, employer cost) after each step.</w:t>
      </w:r>
    </w:p>
    <w:p>
      <w:pPr>
        <w:pStyle w:val="FirstParagraph"/>
      </w:pPr>
      <w:r>
        <w:t xml:space="preserve">If a step reports errors, open the red error panel, fix the listed employees’ data,</w:t>
      </w:r>
      <w:r>
        <w:t xml:space="preserve"> </w:t>
      </w:r>
      <w:r>
        <w:t xml:space="preserve">and re-run that step.</w:t>
      </w:r>
    </w:p>
    <w:bookmarkEnd w:id="11"/>
    <w:bookmarkStart w:id="12" w:name="X156a4d37405612a2c620caa5963cc6ce03c0678"/>
    <w:p>
      <w:pPr>
        <w:pStyle w:val="Heading2"/>
      </w:pPr>
      <w:r>
        <w:t xml:space="preserve">Why is an employee missing from the payroll run?</w:t>
      </w:r>
    </w:p>
    <w:p>
      <w:pPr>
        <w:pStyle w:val="FirstParagraph"/>
      </w:pPr>
      <w:r>
        <w:t xml:space="preserve">The most common cause is a</w:t>
      </w:r>
      <w:r>
        <w:t xml:space="preserve"> </w:t>
      </w:r>
      <w:r>
        <w:rPr>
          <w:b/>
          <w:bCs/>
        </w:rPr>
        <w:t xml:space="preserve">missing salary structure</w:t>
      </w:r>
      <w:r>
        <w:t xml:space="preserve">. Every employee must have a</w:t>
      </w:r>
      <w:r>
        <w:t xml:space="preserve"> </w:t>
      </w:r>
      <w:r>
        <w:t xml:space="preserve">salary structure assigned before their gross can be computed. Assign one in the</w:t>
      </w:r>
      <w:r>
        <w:t xml:space="preserve"> </w:t>
      </w:r>
      <w:r>
        <w:rPr>
          <w:b/>
          <w:bCs/>
        </w:rPr>
        <w:t xml:space="preserve">Salary Structures</w:t>
      </w:r>
      <w:r>
        <w:t xml:space="preserve"> </w:t>
      </w:r>
      <w:r>
        <w:t xml:space="preserve">tab, then re-run the gross step.</w:t>
      </w:r>
    </w:p>
    <w:bookmarkEnd w:id="12"/>
    <w:bookmarkStart w:id="13" w:name="Xe396417afaefde54f7464522365b51a33f0f7f6"/>
    <w:p>
      <w:pPr>
        <w:pStyle w:val="Heading2"/>
      </w:pPr>
      <w:r>
        <w:t xml:space="preserve">How do I create or edit a salary structure?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b/>
          <w:bCs/>
        </w:rPr>
        <w:t xml:space="preserve">Salary Structures</w:t>
      </w:r>
      <w:r>
        <w:t xml:space="preserve"> </w:t>
      </w:r>
      <w:r>
        <w:t xml:space="preserve">tab and add or edit a structure. Set the name, annual</w:t>
      </w:r>
      <w:r>
        <w:t xml:space="preserve"> </w:t>
      </w:r>
      <w:r>
        <w:t xml:space="preserve">CTC, basic % of CTC, HRA % of basic, LTA, medical and conveyance allowances, bonus,</w:t>
      </w:r>
      <w:r>
        <w:t xml:space="preserve"> </w:t>
      </w:r>
      <w:r>
        <w:t xml:space="preserve">and effective dates. A structure that is already used by a run cannot be deleted.</w:t>
      </w:r>
    </w:p>
    <w:bookmarkEnd w:id="13"/>
    <w:bookmarkStart w:id="14" w:name="how-is-net-pay-calculated"/>
    <w:p>
      <w:pPr>
        <w:pStyle w:val="Heading2"/>
      </w:pPr>
      <w:r>
        <w:t xml:space="preserve">How is net pay calculated?</w:t>
      </w:r>
    </w:p>
    <w:p>
      <w:pPr>
        <w:pStyle w:val="SourceCode"/>
      </w:pPr>
      <w:r>
        <w:rPr>
          <w:rStyle w:val="VerbatimChar"/>
        </w:rPr>
        <w:t xml:space="preserve">gross  = basic + HRA + allowances + LTA + bonus + overtime + arrears − loss-of-pay</w:t>
      </w:r>
      <w:r>
        <w:br/>
      </w:r>
      <w:r>
        <w:rPr>
          <w:rStyle w:val="VerbatimChar"/>
        </w:rPr>
        <w:t xml:space="preserve">net    = max(0, gross − PF − ESI − PT − LWF − TDS − other deductions)</w:t>
      </w:r>
    </w:p>
    <w:p>
      <w:pPr>
        <w:pStyle w:val="FirstParagraph"/>
      </w:pPr>
      <w:r>
        <w:t xml:space="preserve">Net pay is never negative — if deductions exceed earnings it is clamped to zero.</w:t>
      </w:r>
    </w:p>
    <w:bookmarkEnd w:id="14"/>
    <w:bookmarkStart w:id="16" w:name="X0800b0a99da5e92c5418b47f5e08ddaa846931b"/>
    <w:p>
      <w:pPr>
        <w:pStyle w:val="Heading2"/>
      </w:pPr>
      <w:r>
        <w:t xml:space="preserve">How do I choose between the Old and New tax regimes?</w:t>
      </w:r>
    </w:p>
    <w:p>
      <w:pPr>
        <w:pStyle w:val="FirstParagraph"/>
      </w:pPr>
      <w:r>
        <w:t xml:space="preserve">The system computes tax under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regimes; the employee’s selected regime</w:t>
      </w:r>
      <w:r>
        <w:t xml:space="preserve"> </w:t>
      </w:r>
      <w:r>
        <w:t xml:space="preserve">decides the TDS applied. The Old regime allows itemised deductions (80C, 80D, HRA</w:t>
      </w:r>
      <w:r>
        <w:t xml:space="preserve"> </w:t>
      </w:r>
      <w:r>
        <w:t xml:space="preserve">exemption, etc.); the New regime uses lower slabs with a flat standard deduction and no</w:t>
      </w:r>
      <w:r>
        <w:t xml:space="preserve"> </w:t>
      </w:r>
      <w:r>
        <w:t xml:space="preserve">itemised deductions. See</w:t>
      </w:r>
      <w:r>
        <w:t xml:space="preserve"> </w:t>
      </w:r>
      <w:hyperlink r:id="rId15">
        <w:r>
          <w:rPr>
            <w:rStyle w:val="Hyperlink"/>
          </w:rPr>
          <w:t xml:space="preserve">GST &amp; TDS</w:t>
        </w:r>
      </w:hyperlink>
      <w:r>
        <w:t xml:space="preserve"> </w:t>
      </w:r>
      <w:r>
        <w:t xml:space="preserve">for the slabs.</w:t>
      </w:r>
    </w:p>
    <w:bookmarkEnd w:id="16"/>
    <w:bookmarkStart w:id="17" w:name="how-do-i-send-form-16"/>
    <w:p>
      <w:pPr>
        <w:pStyle w:val="Heading2"/>
      </w:pPr>
      <w:r>
        <w:t xml:space="preserve">How do I send Form 16?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b/>
          <w:bCs/>
        </w:rPr>
        <w:t xml:space="preserve">TDS Declarations</w:t>
      </w:r>
      <w:r>
        <w:t xml:space="preserve"> </w:t>
      </w:r>
      <w:r>
        <w:t xml:space="preserve">tab, find the employee, and click</w:t>
      </w:r>
      <w:r>
        <w:t xml:space="preserve"> </w:t>
      </w:r>
      <w:r>
        <w:rPr>
          <w:b/>
          <w:bCs/>
        </w:rPr>
        <w:t xml:space="preserve">Send Form 16</w:t>
      </w:r>
      <w:r>
        <w:t xml:space="preserve">. This</w:t>
      </w:r>
      <w:r>
        <w:t xml:space="preserve"> </w:t>
      </w:r>
      <w:r>
        <w:t xml:space="preserve">dispatches the TDS certificate for e-signature.</w:t>
      </w:r>
    </w:p>
    <w:bookmarkEnd w:id="17"/>
    <w:bookmarkStart w:id="18" w:name="Xc3dc840c1c54a28258031bb222f0b7d87c905f3"/>
    <w:p>
      <w:pPr>
        <w:pStyle w:val="Heading2"/>
      </w:pPr>
      <w:r>
        <w:t xml:space="preserve">How do I approve a leave or expense request?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b/>
          <w:bCs/>
        </w:rPr>
        <w:t xml:space="preserve">Approvals</w:t>
      </w:r>
      <w:r>
        <w:t xml:space="preserve"> </w:t>
      </w:r>
      <w:r>
        <w:t xml:space="preserve">queue (or the relevant HR tab). Pending items show a sidebar</w:t>
      </w:r>
      <w:r>
        <w:t xml:space="preserve"> </w:t>
      </w:r>
      <w:r>
        <w:t xml:space="preserve">badge. Open the request, review the details (for leave you’ll see the employee’s</w:t>
      </w:r>
      <w:r>
        <w:t xml:space="preserve"> </w:t>
      </w:r>
      <w:r>
        <w:t xml:space="preserve">balance; for expenses, policy flags), and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with a comment.</w:t>
      </w:r>
    </w:p>
    <w:bookmarkEnd w:id="18"/>
    <w:bookmarkStart w:id="19" w:name="X7a954e84fa963e855547bf6e70797d9220b3588"/>
    <w:p>
      <w:pPr>
        <w:pStyle w:val="Heading2"/>
      </w:pPr>
      <w:r>
        <w:t xml:space="preserve">How do I pay employees into their bank accounts?</w:t>
      </w:r>
    </w:p>
    <w:p>
      <w:pPr>
        <w:pStyle w:val="FirstParagraph"/>
      </w:pPr>
      <w:r>
        <w:t xml:space="preserve">After CFO approval, export a bank disbursement file from the run. Choose your bank</w:t>
      </w:r>
      <w:r>
        <w:t xml:space="preserve"> </w:t>
      </w:r>
      <w:r>
        <w:t xml:space="preserve">format (HDFC NEFT, ICICI, SBI CMP, Axis, Kotak, NACH-Credit, or generic NEFT). The</w:t>
      </w:r>
      <w:r>
        <w:t xml:space="preserve"> </w:t>
      </w:r>
      <w:r>
        <w:t xml:space="preserve">file contains each employee’s name, account, IFSC, net pay, and narration.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/modules/hr" TargetMode="External" /><Relationship Type="http://schemas.openxmlformats.org/officeDocument/2006/relationships/hyperlink" Id="rId15" Target="/modules/india-tax" TargetMode="External" /><Relationship Type="http://schemas.openxmlformats.org/officeDocument/2006/relationships/hyperlink" Id="rId9" Target="/modules/payrol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/modules/hr" TargetMode="External" /><Relationship Type="http://schemas.openxmlformats.org/officeDocument/2006/relationships/hyperlink" Id="rId15" Target="/modules/india-tax" TargetMode="External" /><Relationship Type="http://schemas.openxmlformats.org/officeDocument/2006/relationships/hyperlink" Id="rId9" Target="/modules/payrol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2026-06-30T12:23:19Z</dcterms:created>
  <dcterms:modified xsi:type="dcterms:W3CDTF">2026-06-30T12:23:19Z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