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ow-to-legal-governance"/>
    <w:p>
      <w:pPr>
        <w:pStyle w:val="Heading1"/>
      </w:pPr>
      <w:r>
        <w:t xml:space="preserve">How-To: Legal &amp; Governance</w:t>
      </w:r>
    </w:p>
    <w:p>
      <w:pPr>
        <w:pStyle w:val="FirstParagraph"/>
      </w:pPr>
      <w:r>
        <w:t xml:space="preserve">Tasks for the company secretary and governance team. Full reference:</w:t>
      </w:r>
      <w:r>
        <w:t xml:space="preserve"> </w:t>
      </w:r>
      <w:hyperlink r:id="rId9">
        <w:r>
          <w:rPr>
            <w:rStyle w:val="Hyperlink"/>
          </w:rPr>
          <w:t xml:space="preserve">Secretarial</w:t>
        </w:r>
      </w:hyperlink>
      <w:r>
        <w:t xml:space="preserve">.</w:t>
      </w:r>
    </w:p>
    <w:bookmarkStart w:id="10" w:name="how-do-i-schedule-a-board-meeting"/>
    <w:p>
      <w:pPr>
        <w:pStyle w:val="Heading2"/>
      </w:pPr>
      <w:r>
        <w:t xml:space="preserve">How do I schedule a board meeting?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Legal &amp; Governance → Secretarial → Board &amp; Meetings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Create a meeting: set the type (board, audit committee, AGM, EGM, etc.), title,</w:t>
      </w:r>
      <w:r>
        <w:t xml:space="preserve"> </w:t>
      </w:r>
      <w:r>
        <w:t xml:space="preserve">date/time, venue or video link, and agenda items.</w:t>
      </w:r>
    </w:p>
    <w:p>
      <w:pPr>
        <w:pStyle w:val="Compact"/>
        <w:numPr>
          <w:ilvl w:val="0"/>
          <w:numId w:val="1001"/>
        </w:numPr>
      </w:pPr>
      <w:r>
        <w:t xml:space="preserve">Circulate the agenda. During the meeting, mark it</w:t>
      </w:r>
      <w:r>
        <w:t xml:space="preserve"> </w:t>
      </w:r>
      <w:r>
        <w:rPr>
          <w:b/>
          <w:bCs/>
        </w:rPr>
        <w:t xml:space="preserve">In progress</w:t>
      </w:r>
      <w:r>
        <w:t xml:space="preserve">, then</w:t>
      </w:r>
      <w:r>
        <w:t xml:space="preserve"> </w:t>
      </w:r>
      <w:r>
        <w:rPr>
          <w:b/>
          <w:bCs/>
        </w:rPr>
        <w:t xml:space="preserve">Completed</w:t>
      </w:r>
      <w:r>
        <w:t xml:space="preserve">, and record whether quorum was met.</w:t>
      </w:r>
    </w:p>
    <w:p>
      <w:pPr>
        <w:pStyle w:val="Compact"/>
        <w:numPr>
          <w:ilvl w:val="0"/>
          <w:numId w:val="1001"/>
        </w:numPr>
      </w:pPr>
      <w:r>
        <w:t xml:space="preserve">Draft and finalise the minutes.</w:t>
      </w:r>
    </w:p>
    <w:bookmarkEnd w:id="10"/>
    <w:bookmarkStart w:id="11" w:name="how-do-i-record-a-board-resolution"/>
    <w:p>
      <w:pPr>
        <w:pStyle w:val="Heading2"/>
      </w:pPr>
      <w:r>
        <w:t xml:space="preserve">How do I record a board resolution?</w:t>
      </w:r>
    </w:p>
    <w:p>
      <w:pPr>
        <w:pStyle w:val="FirstParagraph"/>
      </w:pPr>
      <w:r>
        <w:t xml:space="preserve">Create a resolution with its title and body, choose the type (Ordinary, Special,</w:t>
      </w:r>
      <w:r>
        <w:t xml:space="preserve"> </w:t>
      </w:r>
      <w:r>
        <w:t xml:space="preserve">Board, or Circular), and capture the vote. A</w:t>
      </w:r>
      <w:r>
        <w:t xml:space="preserve"> </w:t>
      </w:r>
      <w:r>
        <w:rPr>
          <w:b/>
          <w:bCs/>
        </w:rPr>
        <w:t xml:space="preserve">Special</w:t>
      </w:r>
      <w:r>
        <w:t xml:space="preserve"> </w:t>
      </w:r>
      <w:r>
        <w:t xml:space="preserve">resolution needs a 75%</w:t>
      </w:r>
      <w:r>
        <w:t xml:space="preserve"> </w:t>
      </w:r>
      <w:r>
        <w:t xml:space="preserve">majority. Once carried, mark it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— the votes for, against, and abstaining,</w:t>
      </w:r>
      <w:r>
        <w:t xml:space="preserve"> </w:t>
      </w:r>
      <w:r>
        <w:t xml:space="preserve">plus the date, are stored with it.</w:t>
      </w:r>
    </w:p>
    <w:bookmarkEnd w:id="11"/>
    <w:bookmarkStart w:id="12" w:name="how-do-i-track-an-mcaroc-filing"/>
    <w:p>
      <w:pPr>
        <w:pStyle w:val="Heading2"/>
      </w:pPr>
      <w:r>
        <w:t xml:space="preserve">How do I track an MCA/ROC filing?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MCA/ROC Filings</w:t>
      </w:r>
      <w:r>
        <w:t xml:space="preserve"> </w:t>
      </w:r>
      <w:r>
        <w:t xml:space="preserve">tab, add the filing with its form number, authority, due</w:t>
      </w:r>
      <w:r>
        <w:t xml:space="preserve"> </w:t>
      </w:r>
      <w:r>
        <w:t xml:space="preserve">date, financial year, fees, and owner. Its status moves through</w:t>
      </w:r>
      <w:r>
        <w:t xml:space="preserve"> </w:t>
      </w:r>
      <w:r>
        <w:rPr>
          <w:b/>
          <w:bCs/>
        </w:rPr>
        <w:t xml:space="preserve">Upcoming → Filed →</w:t>
      </w:r>
      <w:r>
        <w:rPr>
          <w:b/>
          <w:bCs/>
        </w:rP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Overdue</w:t>
      </w:r>
      <w:r>
        <w:t xml:space="preserve">), ending at</w:t>
      </w:r>
      <w:r>
        <w:t xml:space="preserve"> </w:t>
      </w:r>
      <w:r>
        <w:rPr>
          <w:b/>
          <w:bCs/>
        </w:rPr>
        <w:t xml:space="preserve">Complied</w:t>
      </w:r>
      <w:r>
        <w:t xml:space="preserve">. The compliance</w:t>
      </w:r>
      <w:r>
        <w:t xml:space="preserve"> </w:t>
      </w:r>
      <w:r>
        <w:t xml:space="preserve">calendar reminds you before each due date.</w:t>
      </w:r>
    </w:p>
    <w:bookmarkEnd w:id="12"/>
    <w:bookmarkStart w:id="13" w:name="how-do-i-manage-esop-grants"/>
    <w:p>
      <w:pPr>
        <w:pStyle w:val="Heading2"/>
      </w:pPr>
      <w:r>
        <w:t xml:space="preserve">How do I manage ESOP grants?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Share Capital &amp; ESOP</w:t>
      </w:r>
      <w:r>
        <w:t xml:space="preserve">, record a grant against the ESOP pool with its vesting</w:t>
      </w:r>
      <w:r>
        <w:t xml:space="preserve"> </w:t>
      </w:r>
      <w:r>
        <w:t xml:space="preserve">schedule. Track its lifecycle events — grant, vest, exercise, forfeit, cancel.</w:t>
      </w:r>
      <w:r>
        <w:t xml:space="preserve"> </w:t>
      </w:r>
      <w:r>
        <w:t xml:space="preserve">Employees can see their own grants, vesting status, and exercise options.</w:t>
      </w:r>
    </w:p>
    <w:bookmarkEnd w:id="13"/>
    <w:bookmarkStart w:id="14" w:name="X654c53109d0c503fa6564f493c72e7f0bf97ad7"/>
    <w:p>
      <w:pPr>
        <w:pStyle w:val="Heading2"/>
      </w:pPr>
      <w:r>
        <w:t xml:space="preserve">Where do I see upcoming compliance deadlines?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Compliance Calendar</w:t>
      </w:r>
      <w:r>
        <w:t xml:space="preserve"> </w:t>
      </w:r>
      <w:r>
        <w:t xml:space="preserve">tab auto-generates obligations from your incorporation</w:t>
      </w:r>
      <w:r>
        <w:t xml:space="preserve"> </w:t>
      </w:r>
      <w:r>
        <w:t xml:space="preserve">date and financial year and reminds you ahead of each due date. MCA/ROC filings feed</w:t>
      </w:r>
      <w:r>
        <w:t xml:space="preserve"> </w:t>
      </w:r>
      <w:r>
        <w:t xml:space="preserve">into this same calendar.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odules/secreta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odules/secreta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