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how-to-service-desk-it"/>
    <w:p>
      <w:pPr>
        <w:pStyle w:val="Heading1"/>
      </w:pPr>
      <w:r>
        <w:t xml:space="preserve">How-To: Service Desk &amp; IT</w:t>
      </w:r>
    </w:p>
    <w:p>
      <w:pPr>
        <w:pStyle w:val="FirstParagraph"/>
      </w:pPr>
      <w:r>
        <w:t xml:space="preserve">Tasks for IT agents and service-desk teams. Full reference:</w:t>
      </w:r>
      <w:r>
        <w:t xml:space="preserve"> </w:t>
      </w:r>
      <w:hyperlink r:id="rId9">
        <w:r>
          <w:rPr>
            <w:rStyle w:val="Hyperlink"/>
          </w:rPr>
          <w:t xml:space="preserve">Tickets</w:t>
        </w:r>
      </w:hyperlink>
      <w:r>
        <w:t xml:space="preserve">.</w:t>
      </w:r>
    </w:p>
    <w:bookmarkStart w:id="10" w:name="how-do-i-create-a-ticket"/>
    <w:p>
      <w:pPr>
        <w:pStyle w:val="Heading2"/>
      </w:pPr>
      <w:r>
        <w:t xml:space="preserve">How do I create a ticket?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New Ticket</w:t>
      </w:r>
      <w:r>
        <w:t xml:space="preserve">, choose the type (Incident, Service Request, Problem,</w:t>
      </w:r>
      <w:r>
        <w:t xml:space="preserve"> </w:t>
      </w:r>
      <w:r>
        <w:t xml:space="preserve">Change), set a title, description, category, and priority, then submit.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send to your configured inbound address — the subject becomes the title</w:t>
      </w:r>
      <w:r>
        <w:t xml:space="preserve"> </w:t>
      </w:r>
      <w:r>
        <w:t xml:space="preserve">and the body becomes the description.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tickets.create</w:t>
      </w:r>
      <w:r>
        <w:t xml:space="preserve"> </w:t>
      </w:r>
      <w:r>
        <w:t xml:space="preserve">with a bearer token.</w:t>
      </w:r>
    </w:p>
    <w:bookmarkEnd w:id="10"/>
    <w:bookmarkStart w:id="11" w:name="what-do-the-priorities-mean-for-sla"/>
    <w:p>
      <w:pPr>
        <w:pStyle w:val="Heading2"/>
      </w:pPr>
      <w:r>
        <w:t xml:space="preserve">What do the priorities mean for SLA?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 hours</w:t>
            </w:r>
          </w:p>
        </w:tc>
      </w:tr>
    </w:tbl>
    <w:p>
      <w:pPr>
        <w:pStyle w:val="BodyText"/>
      </w:pPr>
      <w:r>
        <w:t xml:space="preserve">The SLA indicator on each ticket is green (on track), amber (at risk, under 20% time</w:t>
      </w:r>
      <w:r>
        <w:t xml:space="preserve"> </w:t>
      </w:r>
      <w:r>
        <w:t xml:space="preserve">left), or red (breached).</w:t>
      </w:r>
    </w:p>
    <w:bookmarkEnd w:id="11"/>
    <w:bookmarkStart w:id="12" w:name="why-did-my-tickets-sla-clock-stop"/>
    <w:p>
      <w:pPr>
        <w:pStyle w:val="Heading2"/>
      </w:pPr>
      <w:r>
        <w:t xml:space="preserve">Why did my ticket’s SLA clock stop?</w:t>
      </w:r>
    </w:p>
    <w:p>
      <w:pPr>
        <w:pStyle w:val="FirstParagraph"/>
      </w:pPr>
      <w:r>
        <w:t xml:space="preserve">Because the ticket’s status category is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— for example waiting on a</w:t>
      </w:r>
      <w:r>
        <w:t xml:space="preserve"> </w:t>
      </w:r>
      <w:r>
        <w:t xml:space="preserve">customer or vendor. SLA clocks pause while a ticket is pending and resume when it</w:t>
      </w:r>
      <w:r>
        <w:t xml:space="preserve"> </w:t>
      </w:r>
      <w:r>
        <w:t xml:space="preserve">leaves that state.</w:t>
      </w:r>
    </w:p>
    <w:bookmarkEnd w:id="12"/>
    <w:bookmarkStart w:id="13" w:name="how-do-i-find-and-work-the-right-tickets"/>
    <w:p>
      <w:pPr>
        <w:pStyle w:val="Heading2"/>
      </w:pPr>
      <w:r>
        <w:t xml:space="preserve">How do I find and work the right tickets?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Service Desk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/app/tickets</w:t>
      </w:r>
      <w:r>
        <w:t xml:space="preserve">). Switch between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(KPIs),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(table), and</w:t>
      </w:r>
      <w:r>
        <w:t xml:space="preserve"> </w:t>
      </w:r>
      <w:r>
        <w:rPr>
          <w:b/>
          <w:bCs/>
        </w:rPr>
        <w:t xml:space="preserve">Board</w:t>
      </w:r>
      <w:r>
        <w:t xml:space="preserve"> </w:t>
      </w:r>
      <w:r>
        <w:t xml:space="preserve">(Kanban). Use search, the status tabs, and filters (type, SLA,</w:t>
      </w:r>
      <w:r>
        <w:t xml:space="preserve"> </w:t>
      </w:r>
      <w:r>
        <w:t xml:space="preserve">date) to narrow the list. Select multiple tickets to</w:t>
      </w:r>
      <w:r>
        <w:t xml:space="preserve"> </w:t>
      </w:r>
      <w:r>
        <w:rPr>
          <w:b/>
          <w:bCs/>
        </w:rPr>
        <w:t xml:space="preserve">bulk assign</w:t>
      </w:r>
      <w:r>
        <w:t xml:space="preserve">,</w:t>
      </w:r>
      <w:r>
        <w:t xml:space="preserve"> </w:t>
      </w:r>
      <w:r>
        <w:rPr>
          <w:b/>
          <w:bCs/>
        </w:rPr>
        <w:t xml:space="preserve">bulk close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export to CSV</w:t>
      </w:r>
      <w:r>
        <w:t xml:space="preserve">.</w:t>
      </w:r>
    </w:p>
    <w:bookmarkEnd w:id="13"/>
    <w:bookmarkStart w:id="14" w:name="how-do-i-resolve-and-close-a-ticket"/>
    <w:p>
      <w:pPr>
        <w:pStyle w:val="Heading2"/>
      </w:pPr>
      <w:r>
        <w:t xml:space="preserve">How do I resolve and close a ticket?</w:t>
      </w:r>
    </w:p>
    <w:p>
      <w:pPr>
        <w:pStyle w:val="FirstParagraph"/>
      </w:pPr>
      <w:r>
        <w:t xml:space="preserve">Work the ticket and add comments as you go. When you’ve applied a fix, set the status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(this stops the resolution SLA). Once the user confirms — or after your</w:t>
      </w:r>
      <w:r>
        <w:t xml:space="preserve"> </w:t>
      </w:r>
      <w:r>
        <w:t xml:space="preserve">configured auto-close window — set it to</w:t>
      </w:r>
      <w:r>
        <w:t xml:space="preserve"> </w:t>
      </w:r>
      <w:r>
        <w:rPr>
          <w:b/>
          <w:bCs/>
        </w:rPr>
        <w:t xml:space="preserve">Closed</w:t>
      </w:r>
      <w:r>
        <w:t xml:space="preserve">.</w:t>
      </w:r>
    </w:p>
    <w:bookmarkEnd w:id="14"/>
    <w:bookmarkStart w:id="15" w:name="how-do-i-handle-a-major-incident"/>
    <w:p>
      <w:pPr>
        <w:pStyle w:val="Heading2"/>
      </w:pPr>
      <w:r>
        <w:t xml:space="preserve">How do I handle a major incident?</w:t>
      </w:r>
    </w:p>
    <w:p>
      <w:pPr>
        <w:pStyle w:val="FirstParagraph"/>
      </w:pPr>
      <w:r>
        <w:t xml:space="preserve">Major incidents (</w:t>
      </w:r>
      <w:r>
        <w:rPr>
          <w:rStyle w:val="VerbatimChar"/>
        </w:rPr>
        <w:t xml:space="preserve">/app/it-services/major-incidents</w:t>
      </w:r>
      <w:r>
        <w:t xml:space="preserve">) get a</w:t>
      </w:r>
      <w:r>
        <w:t xml:space="preserve"> </w:t>
      </w:r>
      <w:r>
        <w:rPr>
          <w:b/>
          <w:bCs/>
        </w:rPr>
        <w:t xml:space="preserve">war room</w:t>
      </w:r>
      <w:r>
        <w:t xml:space="preserve"> </w:t>
      </w:r>
      <w:r>
        <w:t xml:space="preserve">(</w:t>
      </w:r>
      <w:r>
        <w:rPr>
          <w:rStyle w:val="VerbatimChar"/>
        </w:rPr>
        <w:t xml:space="preserve">.../war-room/[ticketId]</w:t>
      </w:r>
      <w:r>
        <w:t xml:space="preserve">) for coordinated communications. Comms are recorded against</w:t>
      </w:r>
      <w:r>
        <w:t xml:space="preserve"> </w:t>
      </w:r>
      <w:r>
        <w:t xml:space="preserve">the incident so there’s a single source of truth during the outage.</w:t>
      </w:r>
    </w:p>
    <w:bookmarkEnd w:id="15"/>
    <w:bookmarkStart w:id="16" w:name="X50be4d2cee0a04abd5afafcc36010514fa3a018"/>
    <w:p>
      <w:pPr>
        <w:pStyle w:val="Heading2"/>
      </w:pPr>
      <w:r>
        <w:t xml:space="preserve">How do I link a ticket to a problem or change?</w:t>
      </w:r>
    </w:p>
    <w:p>
      <w:pPr>
        <w:pStyle w:val="FirstParagraph"/>
      </w:pPr>
      <w:r>
        <w:t xml:space="preserve">On the ticket’s</w:t>
      </w:r>
      <w:r>
        <w:t xml:space="preserve"> </w:t>
      </w:r>
      <w:r>
        <w:rPr>
          <w:b/>
          <w:bCs/>
        </w:rPr>
        <w:t xml:space="preserve">Related</w:t>
      </w:r>
      <w:r>
        <w:t xml:space="preserve"> </w:t>
      </w:r>
      <w:r>
        <w:t xml:space="preserve">tab, add a linked ticket by UUID and choose the relation</w:t>
      </w:r>
      <w:r>
        <w:t xml:space="preserve"> </w:t>
      </w:r>
      <w:r>
        <w:t xml:space="preserve">type (related, duplicate, blocks, blocked_by). Formal problems and changes live in</w:t>
      </w:r>
      <w:r>
        <w:t xml:space="preserve"> </w:t>
      </w:r>
      <w:r>
        <w:t xml:space="preserve">their own modules and are surfaced here too.</w:t>
      </w:r>
    </w:p>
    <w:bookmarkEnd w:id="16"/>
    <w:bookmarkStart w:id="17" w:name="how-do-i-raise-a-change"/>
    <w:p>
      <w:pPr>
        <w:pStyle w:val="Heading2"/>
      </w:pPr>
      <w:r>
        <w:t xml:space="preserve">How do I raise a change?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/app/changes</w:t>
      </w:r>
      <w:r>
        <w:t xml:space="preserve">), create a change request, assign it, and progress</w:t>
      </w:r>
      <w:r>
        <w:t xml:space="preserve"> </w:t>
      </w:r>
      <w:r>
        <w:t xml:space="preserve">it through its lifecycle. Changes are the planned-modification ticket type and follow</w:t>
      </w:r>
      <w:r>
        <w:t xml:space="preserve"> </w:t>
      </w:r>
      <w:r>
        <w:t xml:space="preserve">your change-approval (CAB) process.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modules/ticke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modules/ticke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