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ccounting"/>
    <w:p>
      <w:pPr>
        <w:pStyle w:val="Heading1"/>
      </w:pPr>
      <w:r>
        <w:t xml:space="preserve">Accounting</w:t>
      </w:r>
    </w:p>
    <w:p>
      <w:pPr>
        <w:pStyle w:val="FirstParagraph"/>
      </w:pPr>
      <w:r>
        <w:t xml:space="preserve">The Accounting module is a double-entry general ledger with a Chart of Accounts,</w:t>
      </w:r>
      <w:r>
        <w:t xml:space="preserve"> </w:t>
      </w:r>
      <w:r>
        <w:t xml:space="preserve">journal entries, ledgers, trial balance, financial statements, GST returns, and bank</w:t>
      </w:r>
      <w:r>
        <w:t xml:space="preserve"> </w:t>
      </w:r>
      <w:r>
        <w:t xml:space="preserve">reconciliation. It lives under</w:t>
      </w:r>
      <w:r>
        <w:t xml:space="preserve"> </w:t>
      </w:r>
      <w:r>
        <w:rPr>
          <w:b/>
          <w:bCs/>
        </w:rPr>
        <w:t xml:space="preserve">Finance &amp; Procurement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/app/finance/accounting/*</w:t>
      </w:r>
      <w:r>
        <w:t xml:space="preserve">.</w:t>
      </w:r>
    </w:p>
    <w:bookmarkStart w:id="9" w:name="chart-of-accounts"/>
    <w:p>
      <w:pPr>
        <w:pStyle w:val="Heading2"/>
      </w:pPr>
      <w:r>
        <w:t xml:space="preserve">Chart of Accounts</w:t>
      </w:r>
    </w:p>
    <w:p>
      <w:pPr>
        <w:pStyle w:val="FirstParagraph"/>
      </w:pPr>
      <w:r>
        <w:t xml:space="preserve">The Chart of Accounts (COA) is the master list of accounts, organised as a</w:t>
      </w:r>
      <w:r>
        <w:t xml:space="preserve"> </w:t>
      </w:r>
      <w:r>
        <w:t xml:space="preserve">parent-child hierarchy. CoheronConnect ships a standard India COA seed: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range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1000–1290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Cash, bank, accounts receivable, input tax credit, fixed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2000–2200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Accounts payable, GST payable, TDS payable, PF payable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3000–3200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Share capital, retained 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4000–4200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Service revenue, product sales, interest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5000–5600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COGS, payroll, office, travel, depreciation</w:t>
            </w:r>
          </w:p>
        </w:tc>
      </w:tr>
    </w:tbl>
    <w:p>
      <w:pPr>
        <w:pStyle w:val="BodyText"/>
      </w:pPr>
      <w:r>
        <w:t xml:space="preserve">Each account tracks an opening balance and a current balance. Open</w:t>
      </w:r>
      <w:r>
        <w:t xml:space="preserve"> </w:t>
      </w:r>
      <w:r>
        <w:rPr>
          <w:rStyle w:val="VerbatimChar"/>
        </w:rPr>
        <w:t xml:space="preserve">/app/finance/accounting/coa</w:t>
      </w:r>
      <w:r>
        <w:t xml:space="preserve"> </w:t>
      </w:r>
      <w:r>
        <w:t xml:space="preserve">to browse and manage accounts.</w:t>
      </w:r>
    </w:p>
    <w:bookmarkEnd w:id="9"/>
    <w:bookmarkStart w:id="12" w:name="journal-entries"/>
    <w:p>
      <w:pPr>
        <w:pStyle w:val="Heading2"/>
      </w:pPr>
      <w:r>
        <w:t xml:space="preserve">Journal entries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 but not posted; still editable.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Committed; account balances updated atomically.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Reversed</w:t>
            </w:r>
          </w:p>
        </w:tc>
        <w:tc>
          <w:tcPr/>
          <w:p>
            <w:pPr>
              <w:pStyle w:val="Compact"/>
            </w:pPr>
            <w:r>
              <w:t xml:space="preserve">Marked reversed; a separate reversal entry has been created.</w:t>
            </w:r>
          </w:p>
        </w:tc>
      </w:tr>
    </w:tbl>
    <w:bookmarkStart w:id="10" w:name="the-balance-rule"/>
    <w:p>
      <w:pPr>
        <w:pStyle w:val="Heading3"/>
      </w:pPr>
      <w:r>
        <w:t xml:space="preserve">The balance rule</w:t>
      </w:r>
    </w:p>
    <w:p>
      <w:pPr>
        <w:pStyle w:val="FirstParagraph"/>
      </w:pPr>
      <w:r>
        <w:t xml:space="preserve">Every journal entry must balance:</w:t>
      </w:r>
    </w:p>
    <w:p>
      <w:pPr>
        <w:pStyle w:val="SourceCode"/>
      </w:pPr>
      <w:r>
        <w:rPr>
          <w:rStyle w:val="VerbatimChar"/>
        </w:rPr>
        <w:t xml:space="preserve">total debits ≈ total credits   (tolerance ±0.001)</w:t>
      </w:r>
    </w:p>
    <w:p>
      <w:pPr>
        <w:pStyle w:val="FirstParagraph"/>
      </w:pPr>
      <w:r>
        <w:t xml:space="preserve">If the difference between total debits and total credits exceeds</w:t>
      </w:r>
      <w:r>
        <w:t xml:space="preserve"> </w:t>
      </w:r>
      <w:r>
        <w:rPr>
          <w:b/>
          <w:bCs/>
        </w:rPr>
        <w:t xml:space="preserve">0.001</w:t>
      </w:r>
      <w:r>
        <w:t xml:space="preserve">, the entry</w:t>
      </w:r>
      <w:r>
        <w:t xml:space="preserve"> </w:t>
      </w:r>
      <w:r>
        <w:t xml:space="preserve">is rejected. This invariant is enforced in</w:t>
      </w:r>
      <w:r>
        <w:t xml:space="preserve"> </w:t>
      </w:r>
      <w:r>
        <w:rPr>
          <w:rStyle w:val="VerbatimChar"/>
        </w:rPr>
        <w:t xml:space="preserve">accounting.journal.create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apps/api/src/routers/accounting.ts</w:t>
      </w:r>
      <w:r>
        <w:t xml:space="preserve">).</w:t>
      </w:r>
    </w:p>
    <w:p>
      <w:pPr>
        <w:pStyle w:val="BodyText"/>
      </w:pPr>
      <w:r>
        <w:t xml:space="preserve">Each entry has two or more lines, every line carrying a debit or credit amount and a</w:t>
      </w:r>
      <w:r>
        <w:t xml:space="preserve"> </w:t>
      </w:r>
      <w:r>
        <w:t xml:space="preserve">description. When you post an entry, the affected COA balances are updated in the same</w:t>
      </w:r>
      <w:r>
        <w:t xml:space="preserve"> </w:t>
      </w:r>
      <w:r>
        <w:t xml:space="preserve">transaction.</w:t>
      </w:r>
    </w:p>
    <w:bookmarkEnd w:id="10"/>
    <w:bookmarkStart w:id="11" w:name="reversing-an-entry"/>
    <w:p>
      <w:pPr>
        <w:pStyle w:val="Heading3"/>
      </w:pPr>
      <w:r>
        <w:t xml:space="preserve">Reversing an entry</w:t>
      </w:r>
    </w:p>
    <w:p>
      <w:pPr>
        <w:pStyle w:val="FirstParagraph"/>
      </w:pPr>
      <w:r>
        <w:t xml:space="preserve">To reverse a posted entry, select it and create a reversal. The system creates a new</w:t>
      </w:r>
      <w:r>
        <w:t xml:space="preserve"> </w:t>
      </w:r>
      <w:r>
        <w:t xml:space="preserve">entry with the</w:t>
      </w:r>
      <w:r>
        <w:t xml:space="preserve"> </w:t>
      </w:r>
      <w:r>
        <w:rPr>
          <w:b/>
          <w:bCs/>
        </w:rPr>
        <w:t xml:space="preserve">debits and credits swapped</w:t>
      </w:r>
      <w:r>
        <w:t xml:space="preserve">, marks the original as</w:t>
      </w:r>
      <w:r>
        <w:t xml:space="preserve"> </w:t>
      </w:r>
      <w:r>
        <w:rPr>
          <w:b/>
          <w:bCs/>
        </w:rPr>
        <w:t xml:space="preserve">reversed</w:t>
      </w:r>
      <w:r>
        <w:t xml:space="preserve">, and</w:t>
      </w:r>
      <w:r>
        <w:t xml:space="preserve"> </w:t>
      </w:r>
      <w:r>
        <w:t xml:space="preserve">posts the reversal. You can set a custom reversal date (for example, the first day of</w:t>
      </w:r>
      <w:r>
        <w:t xml:space="preserve"> </w:t>
      </w:r>
      <w:r>
        <w:t xml:space="preserve">the next month).</w:t>
      </w:r>
    </w:p>
    <w:bookmarkEnd w:id="11"/>
    <w:bookmarkEnd w:id="12"/>
    <w:bookmarkStart w:id="13" w:name="ledger-trial-balance-statements"/>
    <w:p>
      <w:pPr>
        <w:pStyle w:val="Heading2"/>
      </w:pPr>
      <w:r>
        <w:t xml:space="preserve">Ledger, trial balance &amp; statements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/app/finance/accounting/ledger</w:t>
      </w:r>
      <w:r>
        <w:t xml:space="preserve">) — pick an account to see its</w:t>
      </w:r>
      <w:r>
        <w:t xml:space="preserve"> </w:t>
      </w:r>
      <w:r>
        <w:t xml:space="preserve">opening balance plus every posted entry in date order, with a running balance.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Trial balance</w:t>
      </w:r>
      <w:r>
        <w:t xml:space="preserve"> </w:t>
      </w:r>
      <w:r>
        <w:t xml:space="preserve">— sums all account balances; total debits should equal total</w:t>
      </w:r>
      <w:r>
        <w:t xml:space="preserve"> </w:t>
      </w:r>
      <w:r>
        <w:t xml:space="preserve">credits within the 0.001 tolerance.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Income statement (P&amp;L)</w:t>
      </w:r>
      <w:r>
        <w:t xml:space="preserve"> </w:t>
      </w:r>
      <w:r>
        <w:t xml:space="preserve">— income accounts minus expense accounts for a period.</w:t>
      </w:r>
    </w:p>
    <w:bookmarkEnd w:id="13"/>
    <w:bookmarkStart w:id="15" w:name="gst-returns"/>
    <w:p>
      <w:pPr>
        <w:pStyle w:val="Heading2"/>
      </w:pPr>
      <w:r>
        <w:t xml:space="preserve">GST returns</w:t>
      </w:r>
    </w:p>
    <w:p>
      <w:pPr>
        <w:pStyle w:val="FirstParagraph"/>
      </w:pPr>
      <w:r>
        <w:t xml:space="preserve">The module can generate India GST returns from posted invoices: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GSTR-1</w:t>
      </w:r>
      <w:r>
        <w:t xml:space="preserve"> </w:t>
      </w:r>
      <w:r>
        <w:t xml:space="preserve">(outward supplies) — invoices grouped into B2B (by buyer GSTIN) and B2C,</w:t>
      </w:r>
      <w:r>
        <w:t xml:space="preserve"> </w:t>
      </w:r>
      <w:r>
        <w:t xml:space="preserve">with taxable value and IGST/CGST/SGST per invoice, in a GST-portal-compatible JSON</w:t>
      </w:r>
      <w:r>
        <w:t xml:space="preserve"> </w:t>
      </w:r>
      <w:r>
        <w:t xml:space="preserve">format.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GSTR-3B</w:t>
      </w:r>
      <w:r>
        <w:t xml:space="preserve"> </w:t>
      </w:r>
      <w:r>
        <w:t xml:space="preserve">(summary return) — total outward supplies, eligible input tax credit,</w:t>
      </w:r>
      <w:r>
        <w:t xml:space="preserve"> </w:t>
      </w:r>
      <w:r>
        <w:t xml:space="preserve">and any interest/late fee payable.</w:t>
      </w:r>
    </w:p>
    <w:p>
      <w:pPr>
        <w:pStyle w:val="FirstParagraph"/>
      </w:pPr>
      <w:r>
        <w:t xml:space="preserve">See</w:t>
      </w:r>
      <w:r>
        <w:t xml:space="preserve"> </w:t>
      </w:r>
      <w:hyperlink r:id="rId14">
        <w:r>
          <w:rPr>
            <w:rStyle w:val="Hyperlink"/>
          </w:rPr>
          <w:t xml:space="preserve">GST &amp; TDS</w:t>
        </w:r>
      </w:hyperlink>
      <w:r>
        <w:t xml:space="preserve"> </w:t>
      </w:r>
      <w:r>
        <w:t xml:space="preserve">for how the tax amounts themselves are computed.</w:t>
      </w:r>
    </w:p>
    <w:bookmarkEnd w:id="15"/>
    <w:bookmarkStart w:id="16" w:name="bank-reconciliation"/>
    <w:p>
      <w:pPr>
        <w:pStyle w:val="Heading2"/>
      </w:pPr>
      <w:r>
        <w:t xml:space="preserve">Bank reconciliation</w:t>
      </w:r>
    </w:p>
    <w:p>
      <w:pPr>
        <w:pStyle w:val="FirstParagraph"/>
      </w:pPr>
      <w:r>
        <w:t xml:space="preserve">Reconcile a bank statement against your ledger at</w:t>
      </w:r>
      <w:r>
        <w:t xml:space="preserve"> </w:t>
      </w:r>
      <w:r>
        <w:rPr>
          <w:rStyle w:val="VerbatimChar"/>
        </w:rPr>
        <w:t xml:space="preserve">/app/finance/accounting/reconciliation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a statement</w:t>
      </w:r>
      <w:r>
        <w:t xml:space="preserve"> </w:t>
      </w:r>
      <w:r>
        <w:t xml:space="preserve">— name, account, period, and the closing balance from the</w:t>
      </w:r>
      <w:r>
        <w:t xml:space="preserve"> </w:t>
      </w:r>
      <w:r>
        <w:t xml:space="preserve">bank.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 transactions</w:t>
      </w:r>
      <w:r>
        <w:t xml:space="preserve"> </w:t>
      </w:r>
      <w:r>
        <w:t xml:space="preserve">— by CSV or manually (date, description, amount; positive =</w:t>
      </w:r>
      <w:r>
        <w:t xml:space="preserve"> </w:t>
      </w:r>
      <w:r>
        <w:t xml:space="preserve">inflow).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Suggest matches</w:t>
      </w:r>
      <w:r>
        <w:t xml:space="preserve"> </w:t>
      </w:r>
      <w:r>
        <w:t xml:space="preserve">— the system scores candidate matches (exact amount, date</w:t>
      </w:r>
      <w:r>
        <w:t xml:space="preserve"> </w:t>
      </w:r>
      <w:r>
        <w:t xml:space="preserve">proximity, description overlap) and proposes links to journal entries.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 or ignore</w:t>
      </w:r>
      <w:r>
        <w:t xml:space="preserve"> </w:t>
      </w:r>
      <w:r>
        <w:t xml:space="preserve">— link each transaction to a journal entry, or mark it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if it is booked elsewhere.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Reconcile</w:t>
      </w:r>
      <w:r>
        <w:t xml:space="preserve"> </w:t>
      </w:r>
      <w:r>
        <w:t xml:space="preserve">— once every transaction is matched or ignored, the statement is</w:t>
      </w:r>
      <w:r>
        <w:t xml:space="preserve"> </w:t>
      </w:r>
      <w:r>
        <w:t xml:space="preserve">locked.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Statement 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Transactions still being matched.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Reconciled</w:t>
            </w:r>
          </w:p>
        </w:tc>
        <w:tc>
          <w:tcPr/>
          <w:p>
            <w:pPr>
              <w:pStyle w:val="Compact"/>
            </w:pPr>
            <w:r>
              <w:t xml:space="preserve">Every transaction matched or ignored; statement locked.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 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Unmatched</w:t>
            </w:r>
          </w:p>
        </w:tc>
        <w:tc>
          <w:tcPr/>
          <w:p>
            <w:pPr>
              <w:pStyle w:val="Compact"/>
            </w:pPr>
            <w:r>
              <w:t xml:space="preserve">Awaiting a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Linked to a journal entry.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Acknowledged as not needing a match.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/modules/india-ta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/modules/india-ta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2026-06-30T12:23:18Z</dcterms:created>
  <dcterms:modified xsi:type="dcterms:W3CDTF">2026-06-30T12:23:18Z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