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ustomer-sales"/>
    <w:p>
      <w:pPr>
        <w:pStyle w:val="Heading1"/>
      </w:pPr>
      <w:r>
        <w:t xml:space="preserve">Customer &amp; Sales</w:t>
      </w:r>
    </w:p>
    <w:p>
      <w:pPr>
        <w:pStyle w:val="FirstParagraph"/>
      </w:pPr>
      <w:r>
        <w:t xml:space="preserve">The Customer &amp; Sales area brings together customer service, CRM, the service catalog,</w:t>
      </w:r>
      <w:r>
        <w:t xml:space="preserve"> </w:t>
      </w:r>
      <w:r>
        <w:t xml:space="preserve">and surveys. It lives under</w:t>
      </w:r>
      <w:r>
        <w:t xml:space="preserve"> </w:t>
      </w:r>
      <w:r>
        <w:rPr>
          <w:b/>
          <w:bCs/>
        </w:rPr>
        <w:t xml:space="preserve">Customer &amp; Sales</w:t>
      </w:r>
      <w:r>
        <w:t xml:space="preserve"> </w:t>
      </w:r>
      <w:r>
        <w:t xml:space="preserve">in the sidebar.</w:t>
      </w:r>
    </w:p>
    <w:bookmarkStart w:id="9" w:name="customer-service-csm"/>
    <w:p>
      <w:pPr>
        <w:pStyle w:val="Heading2"/>
      </w:pPr>
      <w:r>
        <w:t xml:space="preserve">Customer service (CSM)</w:t>
      </w:r>
    </w:p>
    <w:p>
      <w:pPr>
        <w:pStyle w:val="FirstParagraph"/>
      </w:pPr>
      <w:r>
        <w:t xml:space="preserve">Customer Success Management (</w:t>
      </w:r>
      <w:r>
        <w:rPr>
          <w:rStyle w:val="VerbatimChar"/>
        </w:rPr>
        <w:t xml:space="preserve">/app/csm</w:t>
      </w:r>
      <w:r>
        <w:t xml:space="preserve">) handles customer-facing cases, each with its</w:t>
      </w:r>
      <w:r>
        <w:t xml:space="preserve"> </w:t>
      </w:r>
      <w:r>
        <w:t xml:space="preserve">own detail page. CSM cases follow the same lifecycle conventions as IT tickets but are</w:t>
      </w:r>
      <w:r>
        <w:t xml:space="preserve"> </w:t>
      </w:r>
      <w:r>
        <w:t xml:space="preserve">oriented toward customer accounts and success outcomes.</w:t>
      </w:r>
    </w:p>
    <w:bookmarkEnd w:id="9"/>
    <w:bookmarkStart w:id="10" w:name="crm-sales"/>
    <w:p>
      <w:pPr>
        <w:pStyle w:val="Heading2"/>
      </w:pPr>
      <w:r>
        <w:t xml:space="preserve">CRM &amp; sales</w:t>
      </w:r>
    </w:p>
    <w:p>
      <w:pPr>
        <w:pStyle w:val="FirstParagraph"/>
      </w:pPr>
      <w:r>
        <w:t xml:space="preserve">The CRM (</w:t>
      </w:r>
      <w:r>
        <w:rPr>
          <w:rStyle w:val="VerbatimChar"/>
        </w:rPr>
        <w:t xml:space="preserve">/app/crm</w:t>
      </w:r>
      <w:r>
        <w:t xml:space="preserve">) tracks accounts and deals: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Accounts</w:t>
      </w:r>
      <w:r>
        <w:t xml:space="preserve"> </w:t>
      </w:r>
      <w:r>
        <w:t xml:space="preserve">— customer organisations, each with a detail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/app/crm/accounts/[id]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Deals</w:t>
      </w:r>
      <w:r>
        <w:t xml:space="preserve"> </w:t>
      </w:r>
      <w:r>
        <w:t xml:space="preserve">— sales opportunities, each with a detail page (</w:t>
      </w:r>
      <w:r>
        <w:rPr>
          <w:rStyle w:val="VerbatimChar"/>
        </w:rPr>
        <w:t xml:space="preserve">/app/crm/deals/[id]</w:t>
      </w:r>
      <w:r>
        <w:t xml:space="preserve">)</w:t>
      </w:r>
      <w:r>
        <w:t xml:space="preserve"> </w:t>
      </w:r>
      <w:r>
        <w:t xml:space="preserve">showing stage, value, and activity.</w:t>
      </w:r>
    </w:p>
    <w:bookmarkEnd w:id="10"/>
    <w:bookmarkStart w:id="11" w:name="service-catalog"/>
    <w:p>
      <w:pPr>
        <w:pStyle w:val="Heading2"/>
      </w:pPr>
      <w:r>
        <w:t xml:space="preserve">Service catalog</w:t>
      </w:r>
    </w:p>
    <w:p>
      <w:pPr>
        <w:pStyle w:val="FirstParagraph"/>
      </w:pPr>
      <w:r>
        <w:t xml:space="preserve">The Service Catalog (</w:t>
      </w:r>
      <w:r>
        <w:rPr>
          <w:rStyle w:val="VerbatimChar"/>
        </w:rPr>
        <w:t xml:space="preserve">/app/catalog</w:t>
      </w:r>
      <w:r>
        <w:t xml:space="preserve">) is where users request standard, pre-approved</w:t>
      </w:r>
      <w:r>
        <w:t xml:space="preserve"> </w:t>
      </w:r>
      <w:r>
        <w:t xml:space="preserve">services. It has three tabs: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Browse</w:t>
      </w:r>
      <w:r>
        <w:t xml:space="preserve"> </w:t>
      </w:r>
      <w:r>
        <w:t xml:space="preserve">— the catalog of available services.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My Requests</w:t>
      </w:r>
      <w:r>
        <w:t xml:space="preserve"> </w:t>
      </w:r>
      <w:r>
        <w:t xml:space="preserve">— the requests the user has submitted.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Catalog Admin</w:t>
      </w:r>
      <w:r>
        <w:t xml:space="preserve"> </w:t>
      </w:r>
      <w:r>
        <w:t xml:space="preserve">— for administrators to define catalog items and their fulfilment</w:t>
      </w:r>
      <w:r>
        <w:t xml:space="preserve"> </w:t>
      </w:r>
      <w:r>
        <w:t xml:space="preserve">workflows.</w:t>
      </w:r>
    </w:p>
    <w:p>
      <w:pPr>
        <w:pStyle w:val="FirstParagraph"/>
      </w:pPr>
      <w:r>
        <w:t xml:space="preserve">Catalog requests flow into the same fulfilment and approval machinery as tickets and</w:t>
      </w:r>
      <w:r>
        <w:t xml:space="preserve"> </w:t>
      </w:r>
      <w:r>
        <w:t xml:space="preserve">HR cases.</w:t>
      </w:r>
    </w:p>
    <w:bookmarkEnd w:id="11"/>
    <w:bookmarkStart w:id="12" w:name="surveys"/>
    <w:p>
      <w:pPr>
        <w:pStyle w:val="Heading2"/>
      </w:pPr>
      <w:r>
        <w:t xml:space="preserve">Surveys</w:t>
      </w:r>
    </w:p>
    <w:p>
      <w:pPr>
        <w:pStyle w:val="FirstParagraph"/>
      </w:pPr>
      <w:r>
        <w:t xml:space="preserve">Surveys (</w:t>
      </w:r>
      <w:r>
        <w:rPr>
          <w:rStyle w:val="VerbatimChar"/>
        </w:rPr>
        <w:t xml:space="preserve">/app/surveys</w:t>
      </w:r>
      <w:r>
        <w:t xml:space="preserve">) collect feedback — for example CSAT after a ticket is</w:t>
      </w:r>
      <w:r>
        <w:t xml:space="preserve"> </w:t>
      </w:r>
      <w:r>
        <w:t xml:space="preserve">resolved. Respondents complete a survey via a tokenised public link</w:t>
      </w:r>
      <w:r>
        <w:t xml:space="preserve"> </w:t>
      </w:r>
      <w:r>
        <w:t xml:space="preserve">(</w:t>
      </w:r>
      <w:r>
        <w:rPr>
          <w:rStyle w:val="VerbatimChar"/>
        </w:rPr>
        <w:t xml:space="preserve">/survey/[token]</w:t>
      </w:r>
      <w:r>
        <w:t xml:space="preserve">) without needing to log in, and results feed satisfaction metrics</w:t>
      </w:r>
      <w:r>
        <w:t xml:space="preserve"> </w:t>
      </w:r>
      <w:r>
        <w:t xml:space="preserve">across the platform.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2026-06-30T12:23:19Z</dcterms:created>
  <dcterms:modified xsi:type="dcterms:W3CDTF">2026-06-30T12:23:19Z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