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gst-tds-india-tax"/>
    <w:p>
      <w:pPr>
        <w:pStyle w:val="Heading1"/>
      </w:pPr>
      <w:r>
        <w:t xml:space="preserve">GST &amp; TDS (India Tax)</w:t>
      </w:r>
    </w:p>
    <w:p>
      <w:pPr>
        <w:pStyle w:val="FirstParagraph"/>
      </w:pPr>
      <w:r>
        <w:t xml:space="preserve">CoheronConnect includes India-specific tax engines for</w:t>
      </w:r>
      <w:r>
        <w:t xml:space="preserve"> </w:t>
      </w:r>
      <w:r>
        <w:rPr>
          <w:b/>
          <w:bCs/>
        </w:rPr>
        <w:t xml:space="preserve">GST</w:t>
      </w:r>
      <w:r>
        <w:t xml:space="preserve"> </w:t>
      </w:r>
      <w:r>
        <w:t xml:space="preserve">(Goods and Services</w:t>
      </w:r>
      <w:r>
        <w:t xml:space="preserve"> </w:t>
      </w:r>
      <w:r>
        <w:t xml:space="preserve">Tax) and</w:t>
      </w:r>
      <w:r>
        <w:t xml:space="preserve"> </w:t>
      </w:r>
      <w:r>
        <w:rPr>
          <w:b/>
          <w:bCs/>
        </w:rPr>
        <w:t xml:space="preserve">TDS / income tax</w:t>
      </w:r>
      <w:r>
        <w:t xml:space="preserve">. These power invoicing, payroll, and the GST returns in</w:t>
      </w:r>
      <w:r>
        <w:t xml:space="preserve"> </w:t>
      </w:r>
      <w:r>
        <w:t xml:space="preserve">the Accounting module.</w:t>
      </w:r>
    </w:p>
    <w:bookmarkStart w:id="9" w:name="gst"/>
    <w:p>
      <w:pPr>
        <w:pStyle w:val="Heading2"/>
      </w:pPr>
      <w:r>
        <w:t xml:space="preserve">GST</w:t>
      </w:r>
    </w:p>
    <w:p>
      <w:pPr>
        <w:pStyle w:val="FirstParagraph"/>
      </w:pPr>
      <w:r>
        <w:t xml:space="preserve">GST is computed by</w:t>
      </w:r>
      <w:r>
        <w:t xml:space="preserve"> </w:t>
      </w:r>
      <w:r>
        <w:rPr>
          <w:rStyle w:val="VerbatimChar"/>
        </w:rPr>
        <w:t xml:space="preserve">computeGST()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apps/api/src/lib/india/gst-engine.ts</w:t>
      </w:r>
      <w:r>
        <w:t xml:space="preserve">. The split</w:t>
      </w:r>
      <w:r>
        <w:t xml:space="preserve"> </w:t>
      </w:r>
      <w:r>
        <w:t xml:space="preserve">depends on whether the supply is intra-state or inter-state: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350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Supply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Intra-state</w:t>
            </w:r>
            <w:r>
              <w:t xml:space="preserve"> </w:t>
            </w:r>
            <w:r>
              <w:t xml:space="preserve">(same state)</w:t>
            </w:r>
          </w:p>
        </w:tc>
        <w:tc>
          <w:tcPr/>
          <w:p>
            <w:pPr>
              <w:pStyle w:val="Compact"/>
            </w:pPr>
            <w:r>
              <w:t xml:space="preserve">CGST + SGST</w:t>
            </w:r>
          </w:p>
        </w:tc>
        <w:tc>
          <w:tcPr/>
          <w:p>
            <w:pPr>
              <w:pStyle w:val="Compact"/>
            </w:pPr>
            <w:r>
              <w:t xml:space="preserve">50% / 50% of the total GST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Inter-state</w:t>
            </w:r>
            <w:r>
              <w:t xml:space="preserve"> </w:t>
            </w:r>
            <w:r>
              <w:t xml:space="preserve">(different state)</w:t>
            </w:r>
          </w:p>
        </w:tc>
        <w:tc>
          <w:tcPr/>
          <w:p>
            <w:pPr>
              <w:pStyle w:val="Compact"/>
            </w:pPr>
            <w:r>
              <w:t xml:space="preserve">IGST</w:t>
            </w:r>
          </w:p>
        </w:tc>
        <w:tc>
          <w:tcPr/>
          <w:p>
            <w:pPr>
              <w:pStyle w:val="Compact"/>
            </w:pPr>
            <w:r>
              <w:t xml:space="preserve">100% as a single component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Intra-state</w:t>
      </w:r>
      <w:r>
        <w:t xml:space="preserve">: a supply within the same state attracts Central GST (CGST) and</w:t>
      </w:r>
      <w:r>
        <w:t xml:space="preserve"> </w:t>
      </w:r>
      <w:r>
        <w:t xml:space="preserve">State GST (SGST) in equal halves. Input tax credit is tracked separately for each.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Inter-state</w:t>
      </w:r>
      <w:r>
        <w:t xml:space="preserve">: a supply across state lines attracts a single Integrated GST</w:t>
      </w:r>
      <w:r>
        <w:t xml:space="preserve"> </w:t>
      </w:r>
      <w:r>
        <w:t xml:space="preserve">(IGST) — there is no CGST/SGST split.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Reverse charge</w:t>
      </w:r>
      <w:r>
        <w:t xml:space="preserve">: when flagged on an invoice, the buyer (not the seller) is liable</w:t>
      </w:r>
      <w:r>
        <w:t xml:space="preserve"> </w:t>
      </w:r>
      <w:r>
        <w:t xml:space="preserve">for the GST. This affects how the line appears in GSTR-1 / GSTR-3B.</w:t>
      </w:r>
    </w:p>
    <w:p>
      <w:pPr>
        <w:pStyle w:val="FirstParagraph"/>
      </w:pPr>
      <w:r>
        <w:t xml:space="preserve">Typical rates are 5%, 12%, 18%, and 28% depending on the goods or service.</w:t>
      </w:r>
    </w:p>
    <w:bookmarkEnd w:id="9"/>
    <w:bookmarkStart w:id="14" w:name="tds-income-tax"/>
    <w:p>
      <w:pPr>
        <w:pStyle w:val="Heading2"/>
      </w:pPr>
      <w:r>
        <w:t xml:space="preserve">TDS / income tax</w:t>
      </w:r>
    </w:p>
    <w:p>
      <w:pPr>
        <w:pStyle w:val="FirstParagraph"/>
      </w:pPr>
      <w:r>
        <w:t xml:space="preserve">Income tax is computed by</w:t>
      </w:r>
      <w:r>
        <w:t xml:space="preserve"> </w:t>
      </w:r>
      <w:r>
        <w:rPr>
          <w:rStyle w:val="VerbatimChar"/>
        </w:rPr>
        <w:t xml:space="preserve">computeTax()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apps/api/src/lib/india-tax-engine.ts</w:t>
      </w:r>
      <w:r>
        <w:t xml:space="preserve">.</w:t>
      </w:r>
      <w:r>
        <w:t xml:space="preserve"> </w:t>
      </w:r>
      <w:r>
        <w:t xml:space="preserve">The engine evaluates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 Old and New regimes; the employee’s chosen regime</w:t>
      </w:r>
      <w:r>
        <w:t xml:space="preserve"> </w:t>
      </w:r>
      <w:r>
        <w:t xml:space="preserve">determines the TDS applied in payroll.</w:t>
      </w:r>
    </w:p>
    <w:bookmarkStart w:id="10" w:name="new-regime-slabs"/>
    <w:p>
      <w:pPr>
        <w:pStyle w:val="Heading3"/>
      </w:pPr>
      <w:r>
        <w:t xml:space="preserve">New regime slabs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Annual income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– ₹3 L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₹3 L – ₹6 L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₹6 L – ₹9 L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₹9 L – ₹12 L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₹12 L – ₹15 L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Above ₹15 L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</w:tbl>
    <w:p>
      <w:pPr>
        <w:pStyle w:val="BodyText"/>
      </w:pPr>
      <w:r>
        <w:t xml:space="preserve">The New regime applies a flat standard deduction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allow itemised</w:t>
      </w:r>
      <w:r>
        <w:t xml:space="preserve"> </w:t>
      </w:r>
      <w:r>
        <w:t xml:space="preserve">Chapter VI-A deductions.</w:t>
      </w:r>
    </w:p>
    <w:bookmarkEnd w:id="10"/>
    <w:bookmarkStart w:id="11" w:name="old-regime-slabs"/>
    <w:p>
      <w:pPr>
        <w:pStyle w:val="Heading3"/>
      </w:pPr>
      <w:r>
        <w:t xml:space="preserve">Old regime slabs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Annual income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– ₹2.5 L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₹2.5 L – ₹5 L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₹5 L – ₹10 L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Above ₹10 L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</w:tbl>
    <w:p>
      <w:pPr>
        <w:pStyle w:val="BodyText"/>
      </w:pPr>
      <w:r>
        <w:t xml:space="preserve">The Old regime allows itemised deductions: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80C</w:t>
      </w:r>
      <w:r>
        <w:t xml:space="preserve"> </w:t>
      </w:r>
      <w:r>
        <w:t xml:space="preserve">— up to ₹1.5 L (LIC, PPF, ELSS, tuition fees, etc.)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80D</w:t>
      </w:r>
      <w:r>
        <w:t xml:space="preserve"> </w:t>
      </w:r>
      <w:r>
        <w:t xml:space="preserve">— health insurance premiums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80CCD(1B)</w:t>
      </w:r>
      <w:r>
        <w:t xml:space="preserve"> </w:t>
      </w:r>
      <w:r>
        <w:t xml:space="preserve">— NPS contribution up to ₹50 K (over and above 80C)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80TTA</w:t>
      </w:r>
      <w:r>
        <w:t xml:space="preserve"> </w:t>
      </w:r>
      <w:r>
        <w:t xml:space="preserve">— savings-account interest up to ₹10 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24(b)</w:t>
      </w:r>
      <w:r>
        <w:t xml:space="preserve"> </w:t>
      </w:r>
      <w:r>
        <w:t xml:space="preserve">— home-loan interest (self-occupied) up to ₹2 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HRA exemption</w:t>
      </w:r>
      <w:r>
        <w:t xml:space="preserve"> </w:t>
      </w:r>
      <w:r>
        <w:t xml:space="preserve">— the least of: actual HRA, 40% of basic, or rent paid minus 10%</w:t>
      </w:r>
      <w:r>
        <w:t xml:space="preserve"> </w:t>
      </w:r>
      <w:r>
        <w:t xml:space="preserve">of basic</w:t>
      </w:r>
    </w:p>
    <w:p>
      <w:pPr>
        <w:pStyle w:val="FirstParagraph"/>
      </w:pPr>
      <w:r>
        <w:t xml:space="preserve">Surcharge and health-&amp;-education cess apply to both regimes.</w:t>
      </w:r>
    </w:p>
    <w:bookmarkEnd w:id="11"/>
    <w:bookmarkStart w:id="13" w:name="monthly-tds-in-payroll"/>
    <w:p>
      <w:pPr>
        <w:pStyle w:val="Heading3"/>
      </w:pPr>
      <w:r>
        <w:t xml:space="preserve">Monthly TDS in payroll</w:t>
      </w:r>
    </w:p>
    <w:p>
      <w:pPr>
        <w:pStyle w:val="FirstParagraph"/>
      </w:pPr>
      <w:r>
        <w:t xml:space="preserve">Payroll spreads the annual liability evenly across the financial year:</w:t>
      </w:r>
    </w:p>
    <w:p>
      <w:pPr>
        <w:pStyle w:val="SourceCode"/>
      </w:pPr>
      <w:r>
        <w:rPr>
          <w:rStyle w:val="VerbatimChar"/>
        </w:rPr>
        <w:t xml:space="preserve">monthly TDS = total tax liability ÷ months remaining in the financial year</w:t>
      </w:r>
    </w:p>
    <w:p>
      <w:pPr>
        <w:pStyle w:val="FirstParagraph"/>
      </w:pPr>
      <w:r>
        <w:t xml:space="preserve">For mid-year joiners, the liability is pro-rated across the remaining months. The TDS</w:t>
      </w:r>
      <w:r>
        <w:t xml:space="preserve"> </w:t>
      </w:r>
      <w:r>
        <w:t xml:space="preserve">computed here is the deduction applied at step 8 of the</w:t>
      </w:r>
      <w:r>
        <w:t xml:space="preserve"> </w:t>
      </w:r>
      <w:hyperlink r:id="rId12">
        <w:r>
          <w:rPr>
            <w:rStyle w:val="Hyperlink"/>
          </w:rPr>
          <w:t xml:space="preserve">payroll run</w:t>
        </w:r>
      </w:hyperlink>
      <w:r>
        <w:t xml:space="preserve">.</w:t>
      </w:r>
    </w:p>
    <w:bookmarkEnd w:id="13"/>
    <w:bookmarkEnd w:id="14"/>
    <w:bookmarkStart w:id="15" w:name="form-16"/>
    <w:p>
      <w:pPr>
        <w:pStyle w:val="Heading2"/>
      </w:pPr>
      <w:r>
        <w:t xml:space="preserve">Form 16</w:t>
      </w:r>
    </w:p>
    <w:p>
      <w:pPr>
        <w:pStyle w:val="FirstParagraph"/>
      </w:pPr>
      <w:r>
        <w:t xml:space="preserve">At year-end, employees receive</w:t>
      </w:r>
      <w:r>
        <w:t xml:space="preserve"> </w:t>
      </w:r>
      <w:r>
        <w:rPr>
          <w:b/>
          <w:bCs/>
        </w:rPr>
        <w:t xml:space="preserve">Form 16</w:t>
      </w:r>
      <w:r>
        <w:t xml:space="preserve"> </w:t>
      </w:r>
      <w:r>
        <w:t xml:space="preserve">— their TDS certificate — sent for</w:t>
      </w:r>
      <w:r>
        <w:t xml:space="preserve"> </w:t>
      </w:r>
      <w:r>
        <w:t xml:space="preserve">e-signature from the</w:t>
      </w:r>
      <w:r>
        <w:t xml:space="preserve"> </w:t>
      </w:r>
      <w:r>
        <w:rPr>
          <w:b/>
          <w:bCs/>
        </w:rPr>
        <w:t xml:space="preserve">TDS Declarations</w:t>
      </w:r>
      <w:r>
        <w:t xml:space="preserve"> </w:t>
      </w:r>
      <w:r>
        <w:t xml:space="preserve">tab in the Payroll module.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/modules/payrol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/modules/payrol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2026-06-30T12:23:19Z</dcterms:created>
  <dcterms:modified xsi:type="dcterms:W3CDTF">2026-06-30T12:23:19Z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