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rocurement"/>
    <w:p>
      <w:pPr>
        <w:pStyle w:val="Heading1"/>
      </w:pPr>
      <w:r>
        <w:t xml:space="preserve">Procurement</w:t>
      </w:r>
    </w:p>
    <w:p>
      <w:pPr>
        <w:pStyle w:val="FirstParagraph"/>
      </w:pPr>
      <w:r>
        <w:t xml:space="preserve">The Procurement module manages the purchase lifecycle: purchase requests, approvals,</w:t>
      </w:r>
      <w:r>
        <w:t xml:space="preserve"> </w:t>
      </w:r>
      <w:r>
        <w:t xml:space="preserve">purchase orders, goods receipt, and the three-way match that gates invoice payment. It</w:t>
      </w:r>
      <w:r>
        <w:t xml:space="preserve"> </w:t>
      </w:r>
      <w:r>
        <w:t xml:space="preserve">lives under</w:t>
      </w:r>
      <w:r>
        <w:t xml:space="preserve"> </w:t>
      </w:r>
      <w:r>
        <w:rPr>
          <w:b/>
          <w:bCs/>
        </w:rPr>
        <w:t xml:space="preserve">Finance &amp; Procurement → Procurement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/app/procurement</w:t>
      </w:r>
      <w:r>
        <w:t xml:space="preserve">).</w:t>
      </w:r>
    </w:p>
    <w:bookmarkStart w:id="10" w:name="purchase-requests"/>
    <w:p>
      <w:pPr>
        <w:pStyle w:val="Heading2"/>
      </w:pPr>
      <w:r>
        <w:t xml:space="preserve">Purchase 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Being created; still editable.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Awaiting approval.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Passed the approval gate(s).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Approval denied.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Ordered</w:t>
            </w:r>
          </w:p>
        </w:tc>
        <w:tc>
          <w:tcPr/>
          <w:p>
            <w:pPr>
              <w:pStyle w:val="Compact"/>
            </w:pPr>
            <w:r>
              <w:t xml:space="preserve">A purchase order was raised from the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Received</w:t>
            </w:r>
          </w:p>
        </w:tc>
        <w:tc>
          <w:tcPr/>
          <w:p>
            <w:pPr>
              <w:pStyle w:val="Compact"/>
            </w:pPr>
            <w:r>
              <w:t xml:space="preserve">Goods received (a GRN exists).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 by the requester.</w:t>
            </w:r>
          </w:p>
        </w:tc>
      </w:tr>
    </w:tbl>
    <w:p>
      <w:pPr>
        <w:pStyle w:val="BodyText"/>
      </w:pPr>
      <w:r>
        <w:t xml:space="preserve">A request has line items (description, quantity, unit price, optional vendor, optional</w:t>
      </w:r>
      <w:r>
        <w:t xml:space="preserve"> </w:t>
      </w:r>
      <w:r>
        <w:t xml:space="preserve">asset type). The total is the sum of quantity × unit price across all lines. The</w:t>
      </w:r>
      <w:r>
        <w:t xml:space="preserve"> </w:t>
      </w:r>
      <w:r>
        <w:t xml:space="preserve">approval route is decided when the request is created and cannot change afterwards.</w:t>
      </w:r>
    </w:p>
    <w:bookmarkStart w:id="9" w:name="approval-tiers"/>
    <w:p>
      <w:pPr>
        <w:pStyle w:val="Heading3"/>
      </w:pPr>
      <w:r>
        <w:t xml:space="preserve">Approval tiers</w:t>
      </w:r>
    </w:p>
    <w:p>
      <w:pPr>
        <w:pStyle w:val="FirstParagraph"/>
      </w:pPr>
      <w:r>
        <w:t xml:space="preserve">Approval routing is configurable per organisation. A typical setup: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Auto-approve</w:t>
      </w:r>
      <w:r>
        <w:t xml:space="preserve"> </w:t>
      </w:r>
      <w:r>
        <w:t xml:space="preserve">below a configured threshold (e.g. ₹25,000)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Department head</w:t>
      </w:r>
      <w:r>
        <w:t xml:space="preserve"> </w:t>
      </w:r>
      <w:r>
        <w:t xml:space="preserve">for the mid band (e.g. ₹25,000 – ₹500,000)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VP Finance</w:t>
      </w:r>
      <w:r>
        <w:t xml:space="preserve"> </w:t>
      </w:r>
      <w:r>
        <w:t xml:space="preserve">above the upper threshold (e.g. ₹500,000+)</w:t>
      </w:r>
    </w:p>
    <w:bookmarkEnd w:id="9"/>
    <w:bookmarkEnd w:id="10"/>
    <w:bookmarkStart w:id="11" w:name="purchase-orders"/>
    <w:p>
      <w:pPr>
        <w:pStyle w:val="Heading2"/>
      </w:pPr>
      <w:r>
        <w:t xml:space="preserve">Purchase orders</w:t>
      </w:r>
    </w:p>
    <w:p>
      <w:pPr>
        <w:pStyle w:val="FirstParagraph"/>
      </w:pPr>
      <w:r>
        <w:t xml:space="preserve">A purchase order (PO) is raised from an approved request. It records the vendor, the</w:t>
      </w:r>
      <w:r>
        <w:t xml:space="preserve"> </w:t>
      </w:r>
      <w:r>
        <w:rPr>
          <w:b/>
          <w:bCs/>
        </w:rPr>
        <w:t xml:space="preserve">legal entity</w:t>
      </w:r>
      <w:r>
        <w:t xml:space="preserve"> </w:t>
      </w:r>
      <w:r>
        <w:t xml:space="preserve">(for tax and invoicing), delivery date, total amount, notes, and line</w:t>
      </w:r>
      <w:r>
        <w:t xml:space="preserve"> </w:t>
      </w:r>
      <w:r>
        <w:t xml:space="preserve">items. Tagging the correct legal entity matters: if an invoice is later tagged to a</w:t>
      </w:r>
      <w:r>
        <w:t xml:space="preserve"> </w:t>
      </w:r>
      <w:r>
        <w:t xml:space="preserve">different entity, the three-way match flags a mismatch.</w:t>
      </w:r>
    </w:p>
    <w:bookmarkEnd w:id="11"/>
    <w:bookmarkStart w:id="12" w:name="three-way-match"/>
    <w:p>
      <w:pPr>
        <w:pStyle w:val="Heading2"/>
      </w:pPr>
      <w:r>
        <w:t xml:space="preserve">Three-way match</w:t>
      </w:r>
    </w:p>
    <w:p>
      <w:pPr>
        <w:pStyle w:val="FirstParagraph"/>
      </w:pPr>
      <w:r>
        <w:t xml:space="preserve">Before an invoice is paid, CoheronConnect checks that the</w:t>
      </w:r>
      <w:r>
        <w:t xml:space="preserve"> </w:t>
      </w:r>
      <w:r>
        <w:rPr>
          <w:b/>
          <w:bCs/>
        </w:rPr>
        <w:t xml:space="preserve">invoice</w:t>
      </w:r>
      <w:r>
        <w:t xml:space="preserve">, the</w:t>
      </w:r>
      <w:r>
        <w:t xml:space="preserve"> </w:t>
      </w:r>
      <w:r>
        <w:rPr>
          <w:b/>
          <w:bCs/>
        </w:rPr>
        <w:t xml:space="preserve">PO</w:t>
      </w:r>
      <w:r>
        <w:t xml:space="preserve">,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goods receipt note (GRN)</w:t>
      </w:r>
      <w:r>
        <w:t xml:space="preserve"> </w:t>
      </w:r>
      <w:r>
        <w:t xml:space="preserve">agree. The logic lives in</w:t>
      </w:r>
      <w:r>
        <w:t xml:space="preserve"> </w:t>
      </w:r>
      <w:r>
        <w:rPr>
          <w:rStyle w:val="VerbatimChar"/>
        </w:rPr>
        <w:t xml:space="preserve">apps/api/src/lib/invoice-po-match.ts</w:t>
      </w:r>
      <w:r>
        <w:t xml:space="preserve"> </w:t>
      </w:r>
      <w:r>
        <w:t xml:space="preserve">and runs within an org-configurable tolerance.</w:t>
      </w:r>
    </w:p>
    <w:p>
      <w:pPr>
        <w:pStyle w:val="BodyText"/>
      </w:pPr>
      <w:r>
        <w:t xml:space="preserve">The match proceeds in layers: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Header match</w:t>
      </w:r>
      <w:r>
        <w:t xml:space="preserve"> </w:t>
      </w:r>
      <w:r>
        <w:t xml:space="preserve">— invoice total ≈ PO total, within tolerance.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 match</w:t>
      </w:r>
      <w:r>
        <w:t xml:space="preserve"> </w:t>
      </w:r>
      <w:r>
        <w:t xml:space="preserve">— invoice lines are paired to PO lines (by position first, then by</w:t>
      </w:r>
      <w:r>
        <w:t xml:space="preserve"> </w:t>
      </w:r>
      <w:r>
        <w:t xml:space="preserve">normalised description, then by a lowest-cost greedy pairing). Each matched line</w:t>
      </w:r>
      <w:r>
        <w:t xml:space="preserve"> </w:t>
      </w:r>
      <w:r>
        <w:t xml:space="preserve">must agree within tolerance.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GRN match</w:t>
      </w:r>
      <w:r>
        <w:t xml:space="preserve"> </w:t>
      </w:r>
      <w:r>
        <w:t xml:space="preserve">— the received value on the GRN ≈ the invoice total, within</w:t>
      </w:r>
      <w:r>
        <w:t xml:space="preserve"> </w:t>
      </w:r>
      <w:r>
        <w:t xml:space="preserve">tolerance.</w:t>
      </w:r>
    </w:p>
    <w:p>
      <w:pPr>
        <w:pStyle w:val="FirstParagraph"/>
      </w:pPr>
      <w:r>
        <w:t xml:space="preserve">If all three layers pass, the result is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and the invoice can be paid. If any</w:t>
      </w:r>
      <w:r>
        <w:t xml:space="preserve"> </w:t>
      </w:r>
      <w:r>
        <w:t xml:space="preserve">layer fails, the invoice is flagged for manual review, and the result includes the</w:t>
      </w:r>
      <w:r>
        <w:t xml:space="preserve"> </w:t>
      </w:r>
      <w:r>
        <w:t xml:space="preserve">per-line deltas (invoice minus PO, and the three-way gap) so you can see exactly where</w:t>
      </w:r>
      <w:r>
        <w:t xml:space="preserve"> </w:t>
      </w:r>
      <w:r>
        <w:t xml:space="preserve">the variance is.</w:t>
      </w:r>
    </w:p>
    <w:bookmarkEnd w:id="12"/>
    <w:bookmarkStart w:id="14" w:name="vendors"/>
    <w:p>
      <w:pPr>
        <w:pStyle w:val="Heading2"/>
      </w:pPr>
      <w:r>
        <w:t xml:space="preserve">Vendors</w:t>
      </w:r>
    </w:p>
    <w:p>
      <w:pPr>
        <w:pStyle w:val="FirstParagraph"/>
      </w:pPr>
      <w:r>
        <w:t xml:space="preserve">Vendor and contract management has its own guide — see</w:t>
      </w:r>
      <w:r>
        <w:t xml:space="preserve"> </w:t>
      </w:r>
      <w:hyperlink r:id="rId13">
        <w:r>
          <w:rPr>
            <w:rStyle w:val="Hyperlink"/>
          </w:rPr>
          <w:t xml:space="preserve">Vendors 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Contracts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/modules/vend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/modules/vend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