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egal-governance-company-secretary"/>
    <w:p>
      <w:pPr>
        <w:pStyle w:val="Heading1"/>
      </w:pPr>
      <w:r>
        <w:t xml:space="preserve">Legal &amp; Governance (Company Secretary)</w:t>
      </w:r>
    </w:p>
    <w:p>
      <w:pPr>
        <w:pStyle w:val="FirstParagraph"/>
      </w:pPr>
      <w:r>
        <w:t xml:space="preserve">The Secretarial module supports India company-secretarial work: board meetings and</w:t>
      </w:r>
      <w:r>
        <w:t xml:space="preserve"> </w:t>
      </w:r>
      <w:r>
        <w:t xml:space="preserve">resolutions, MCA/ROC filings, share capital and ESOP, statutory registers, and a</w:t>
      </w:r>
      <w:r>
        <w:t xml:space="preserve"> </w:t>
      </w:r>
      <w:r>
        <w:t xml:space="preserve">compliance calendar. It lives under</w:t>
      </w:r>
      <w:r>
        <w:t xml:space="preserve"> </w:t>
      </w:r>
      <w:r>
        <w:rPr>
          <w:b/>
          <w:bCs/>
        </w:rPr>
        <w:t xml:space="preserve">Legal &amp; Governance → Secretarial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/app/secretarial</w:t>
      </w:r>
      <w:r>
        <w:t xml:space="preserve">) with tabs for Company Overview, Board &amp; Meetings, MCA/ROC</w:t>
      </w:r>
      <w:r>
        <w:t xml:space="preserve"> </w:t>
      </w:r>
      <w:r>
        <w:t xml:space="preserve">Filings, Share Capital &amp; ESOP, Statutory Registers, and Compliance Calendar.</w:t>
      </w:r>
    </w:p>
    <w:bookmarkStart w:id="9" w:name="board-meetings"/>
    <w:p>
      <w:pPr>
        <w:pStyle w:val="Heading2"/>
      </w:pPr>
      <w:r>
        <w:t xml:space="preserve">Board meetings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Meeting set but not yet held.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Meeting under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Held; minutes finalised.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Meeting cancelled.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Adjourned</w:t>
            </w:r>
          </w:p>
        </w:tc>
        <w:tc>
          <w:tcPr/>
          <w:p>
            <w:pPr>
              <w:pStyle w:val="Compact"/>
            </w:pPr>
            <w:r>
              <w:t xml:space="preserve">Paused, to resume later.</w:t>
            </w:r>
          </w:p>
        </w:tc>
      </w:tr>
    </w:tbl>
    <w:p>
      <w:pPr>
        <w:pStyle w:val="BodyText"/>
      </w:pPr>
      <w:r>
        <w:t xml:space="preserve">Meeting types include board meeting, audit committee, nomination committee,</w:t>
      </w:r>
      <w:r>
        <w:t xml:space="preserve"> </w:t>
      </w:r>
      <w:r>
        <w:t xml:space="preserve">compensation committee, AGM, EGM, and creditors’ meeting. A meeting records its type,</w:t>
      </w:r>
      <w:r>
        <w:t xml:space="preserve"> </w:t>
      </w:r>
      <w:r>
        <w:t xml:space="preserve">title, date/time, duration, venue or video link, agenda items (with presenter and</w:t>
      </w:r>
      <w:r>
        <w:t xml:space="preserve"> </w:t>
      </w:r>
      <w:r>
        <w:t xml:space="preserve">duration), chairperson, whether quorum was met, and the draft minutes.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schedule the meeting and set the agenda → circulate the agenda → hold the</w:t>
      </w:r>
      <w:r>
        <w:t xml:space="preserve"> </w:t>
      </w:r>
      <w:r>
        <w:t xml:space="preserve">meeting (mark in progress, then completed) → draft and finalise the minutes → archive.</w:t>
      </w:r>
    </w:p>
    <w:bookmarkEnd w:id="9"/>
    <w:bookmarkStart w:id="10" w:name="board-resolutions"/>
    <w:p>
      <w:pPr>
        <w:pStyle w:val="Heading2"/>
      </w:pPr>
      <w:r>
        <w:t xml:space="preserve">Board resolutions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prepared.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Approved by the board, with the voting record stored.</w:t>
            </w:r>
          </w:p>
        </w:tc>
      </w:tr>
    </w:tbl>
    <w:p>
      <w:pPr>
        <w:pStyle w:val="BodyText"/>
      </w:pPr>
      <w:r>
        <w:t xml:space="preserve">Resolution types are</w:t>
      </w:r>
      <w:r>
        <w:t xml:space="preserve"> </w:t>
      </w:r>
      <w:r>
        <w:rPr>
          <w:b/>
          <w:bCs/>
        </w:rPr>
        <w:t xml:space="preserve">Ordinary</w:t>
      </w:r>
      <w:r>
        <w:t xml:space="preserve">,</w:t>
      </w:r>
      <w:r>
        <w:t xml:space="preserve"> </w:t>
      </w:r>
      <w:r>
        <w:rPr>
          <w:b/>
          <w:bCs/>
        </w:rPr>
        <w:t xml:space="preserve">Special</w:t>
      </w:r>
      <w:r>
        <w:t xml:space="preserve"> </w:t>
      </w:r>
      <w:r>
        <w:t xml:space="preserve">(requires a 75% majority),</w:t>
      </w:r>
      <w:r>
        <w:t xml:space="preserve"> </w:t>
      </w:r>
      <w:r>
        <w:rPr>
          <w:b/>
          <w:bCs/>
        </w:rPr>
        <w:t xml:space="preserve">Board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Circular</w:t>
      </w:r>
      <w:r>
        <w:t xml:space="preserve"> </w:t>
      </w:r>
      <w:r>
        <w:t xml:space="preserve">(passed without a meeting). A passed resolution stores the votes for,</w:t>
      </w:r>
      <w:r>
        <w:t xml:space="preserve"> </w:t>
      </w:r>
      <w:r>
        <w:t xml:space="preserve">against, and abstaining, plus the date passed.</w:t>
      </w:r>
    </w:p>
    <w:bookmarkEnd w:id="10"/>
    <w:bookmarkStart w:id="11" w:name="mca-roc-filings"/>
    <w:p>
      <w:pPr>
        <w:pStyle w:val="Heading2"/>
      </w:pPr>
      <w:r>
        <w:t xml:space="preserve">MCA / ROC filings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Upcoming</w:t>
            </w:r>
          </w:p>
        </w:tc>
        <w:tc>
          <w:tcPr/>
          <w:p>
            <w:pPr>
              <w:pStyle w:val="Compact"/>
            </w:pPr>
            <w:r>
              <w:t xml:space="preserve">Due date in the future.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Filed</w:t>
            </w:r>
          </w:p>
        </w:tc>
        <w:tc>
          <w:tcPr/>
          <w:p>
            <w:pPr>
              <w:pStyle w:val="Compact"/>
            </w:pPr>
            <w:r>
              <w:t xml:space="preserve">Submitted to the regulator.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Accepted by the regulator.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Returned; needs resubmission.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Overdue</w:t>
            </w:r>
          </w:p>
        </w:tc>
        <w:tc>
          <w:tcPr/>
          <w:p>
            <w:pPr>
              <w:pStyle w:val="Compact"/>
            </w:pPr>
            <w:r>
              <w:t xml:space="preserve">Deadline missed; penalty may apply.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Complied</w:t>
            </w:r>
          </w:p>
        </w:tc>
        <w:tc>
          <w:tcPr/>
          <w:p>
            <w:pPr>
              <w:pStyle w:val="Compact"/>
            </w:pPr>
            <w:r>
              <w:t xml:space="preserve">Filed and accepted; compliance complete.</w:t>
            </w:r>
          </w:p>
        </w:tc>
      </w:tr>
    </w:tbl>
    <w:p>
      <w:pPr>
        <w:pStyle w:val="BodyText"/>
      </w:pPr>
      <w:r>
        <w:t xml:space="preserve">Each filing records the form number, title, authority (MCA / ROC), category, due date,</w:t>
      </w:r>
      <w:r>
        <w:t xml:space="preserve"> </w:t>
      </w:r>
      <w:r>
        <w:t xml:space="preserve">financial year, fees, assigned owner, notes, and attachments. Common India filings</w:t>
      </w:r>
      <w:r>
        <w:t xml:space="preserve"> </w:t>
      </w:r>
      <w:r>
        <w:t xml:space="preserve">include DIR-3, MBP-1, and AOC-4.</w:t>
      </w:r>
    </w:p>
    <w:bookmarkEnd w:id="11"/>
    <w:bookmarkStart w:id="12" w:name="share-capital-esop"/>
    <w:p>
      <w:pPr>
        <w:pStyle w:val="Heading2"/>
      </w:pPr>
      <w:r>
        <w:t xml:space="preserve">Share capital &amp; ESOP</w:t>
      </w:r>
    </w:p>
    <w:p>
      <w:pPr>
        <w:pStyle w:val="FirstParagraph"/>
      </w:pPr>
      <w:r>
        <w:t xml:space="preserve">Track share classes (common, preferred, founder, and the ESOP pool), shares issued,</w:t>
      </w:r>
      <w:r>
        <w:t xml:space="preserve"> </w:t>
      </w:r>
      <w:r>
        <w:t xml:space="preserve">face value, holders, and the transfer log. The</w:t>
      </w:r>
      <w:r>
        <w:t xml:space="preserve"> </w:t>
      </w:r>
      <w:r>
        <w:rPr>
          <w:b/>
          <w:bCs/>
        </w:rPr>
        <w:t xml:space="preserve">ESOP</w:t>
      </w:r>
      <w:r>
        <w:t xml:space="preserve"> </w:t>
      </w:r>
      <w:r>
        <w:t xml:space="preserve">view tracks grants and their</w:t>
      </w:r>
      <w:r>
        <w:t xml:space="preserve"> </w:t>
      </w:r>
      <w:r>
        <w:t xml:space="preserve">lifecycle events — grant, vest, exercise, forfeit, and cancel — along with vesting</w:t>
      </w:r>
      <w:r>
        <w:t xml:space="preserve"> </w:t>
      </w:r>
      <w:r>
        <w:t xml:space="preserve">schedules. Employees can see their grants, vesting status, and exercise options.</w:t>
      </w:r>
    </w:p>
    <w:bookmarkEnd w:id="12"/>
    <w:bookmarkStart w:id="13" w:name="statutory-registers-compliance-calendar"/>
    <w:p>
      <w:pPr>
        <w:pStyle w:val="Heading2"/>
      </w:pPr>
      <w:r>
        <w:t xml:space="preserve">Statutory registers &amp; compliance calendar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Statutory registers</w:t>
      </w:r>
      <w:r>
        <w:t xml:space="preserve"> </w:t>
      </w:r>
      <w:r>
        <w:t xml:space="preserve">— the registers a company is required to maintain</w:t>
      </w:r>
      <w:r>
        <w:t xml:space="preserve"> </w:t>
      </w:r>
      <w:r>
        <w:t xml:space="preserve">(members, directors, charges,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calendar</w:t>
      </w:r>
      <w:r>
        <w:t xml:space="preserve"> </w:t>
      </w:r>
      <w:r>
        <w:t xml:space="preserve">— auto-generated obligations based on the incorporation date</w:t>
      </w:r>
      <w:r>
        <w:t xml:space="preserve"> </w:t>
      </w:r>
      <w:r>
        <w:t xml:space="preserve">and financial year, with reminders ahead of each due date. This is the same calendar</w:t>
      </w:r>
      <w:r>
        <w:t xml:space="preserve"> </w:t>
      </w:r>
      <w:r>
        <w:t xml:space="preserve">the MCA/ROC filings feed into.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