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curity-compliance-grc"/>
    <w:p>
      <w:pPr>
        <w:pStyle w:val="Heading1"/>
      </w:pPr>
      <w:r>
        <w:t xml:space="preserve">Security &amp; Compliance (GRC)</w:t>
      </w:r>
    </w:p>
    <w:p>
      <w:pPr>
        <w:pStyle w:val="FirstParagraph"/>
      </w:pPr>
      <w:r>
        <w:t xml:space="preserve">The Security &amp; Compliance area covers security operations, governance/risk/compliance</w:t>
      </w:r>
      <w:r>
        <w:t xml:space="preserve"> </w:t>
      </w:r>
      <w:r>
        <w:t xml:space="preserve">(GRC), ESG reporting, and the approvals queue. It lives under</w:t>
      </w:r>
      <w:r>
        <w:t xml:space="preserve"> </w:t>
      </w:r>
      <w:r>
        <w:rPr>
          <w:b/>
          <w:bCs/>
        </w:rPr>
        <w:t xml:space="preserve">Security &amp; Compliance</w:t>
      </w:r>
      <w:r>
        <w:t xml:space="preserve"> </w:t>
      </w:r>
      <w:r>
        <w:t xml:space="preserve">in the sidebar.</w:t>
      </w:r>
    </w:p>
    <w:bookmarkStart w:id="9" w:name="security-operations"/>
    <w:p>
      <w:pPr>
        <w:pStyle w:val="Heading2"/>
      </w:pPr>
      <w:r>
        <w:t xml:space="preserve">Security operations</w:t>
      </w:r>
    </w:p>
    <w:p>
      <w:pPr>
        <w:pStyle w:val="FirstParagraph"/>
      </w:pPr>
      <w:r>
        <w:t xml:space="preserve">Security incidents are tracked at</w:t>
      </w:r>
      <w:r>
        <w:t xml:space="preserve"> </w:t>
      </w:r>
      <w:r>
        <w:rPr>
          <w:rStyle w:val="VerbatimChar"/>
        </w:rPr>
        <w:t xml:space="preserve">/app/security</w:t>
      </w:r>
      <w:r>
        <w:t xml:space="preserve">, with a detail page per incident.</w:t>
      </w:r>
      <w:r>
        <w:t xml:space="preserve"> </w:t>
      </w:r>
      <w:r>
        <w:t xml:space="preserve">Open security incidents surface as a red badge in the sidebar so they are never</w:t>
      </w:r>
      <w:r>
        <w:t xml:space="preserve"> </w:t>
      </w:r>
      <w:r>
        <w:t xml:space="preserve">missed. Incidents follow the same investigate → contain → resolve flow as IT tickets,</w:t>
      </w:r>
      <w:r>
        <w:t xml:space="preserve"> </w:t>
      </w:r>
      <w:r>
        <w:t xml:space="preserve">with a security-specific lens.</w:t>
      </w:r>
    </w:p>
    <w:bookmarkEnd w:id="9"/>
    <w:bookmarkStart w:id="10" w:name="risk-management"/>
    <w:p>
      <w:pPr>
        <w:pStyle w:val="Heading2"/>
      </w:pPr>
      <w:r>
        <w:t xml:space="preserve">Risk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Identified</w:t>
            </w:r>
          </w:p>
        </w:tc>
        <w:tc>
          <w:tcPr/>
          <w:p>
            <w:pPr>
              <w:pStyle w:val="Compact"/>
            </w:pPr>
            <w:r>
              <w:t xml:space="preserve">New risk registered.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Assessed</w:t>
            </w:r>
          </w:p>
        </w:tc>
        <w:tc>
          <w:tcPr/>
          <w:p>
            <w:pPr>
              <w:pStyle w:val="Compact"/>
            </w:pPr>
            <w:r>
              <w:t xml:space="preserve">Likelihood × impact scored.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Mitigated</w:t>
            </w:r>
          </w:p>
        </w:tc>
        <w:tc>
          <w:tcPr/>
          <w:p>
            <w:pPr>
              <w:pStyle w:val="Compact"/>
            </w:pPr>
            <w:r>
              <w:t xml:space="preserve">A control is in place.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Risk accepted by leadership.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Monitored</w:t>
            </w:r>
          </w:p>
        </w:tc>
        <w:tc>
          <w:tcPr/>
          <w:p>
            <w:pPr>
              <w:pStyle w:val="Compact"/>
            </w:pPr>
            <w:r>
              <w:t xml:space="preserve">Tracked on an ongoing basis.</w:t>
            </w:r>
          </w:p>
        </w:tc>
      </w:tr>
    </w:tbl>
    <w:p>
      <w:pPr>
        <w:pStyle w:val="BodyText"/>
      </w:pPr>
      <w:r>
        <w:t xml:space="preserve">Risks are categorised as operational, financial, strategic, compliance, technology, or</w:t>
      </w:r>
      <w:r>
        <w:t xml:space="preserve"> </w:t>
      </w:r>
      <w:r>
        <w:t xml:space="preserve">reputational. The risk score is:</w:t>
      </w:r>
    </w:p>
    <w:p>
      <w:pPr>
        <w:pStyle w:val="SourceCode"/>
      </w:pPr>
      <w:r>
        <w:rPr>
          <w:rStyle w:val="VerbatimChar"/>
        </w:rPr>
        <w:t xml:space="preserve">risk score = likelihood (1–5) × impact (1–5)   →   range 1–25</w:t>
      </w:r>
    </w:p>
    <w:p>
      <w:pPr>
        <w:pStyle w:val="FirstParagraph"/>
      </w:pPr>
      <w:r>
        <w:t xml:space="preserve">As a guide:</w:t>
      </w:r>
      <w:r>
        <w:t xml:space="preserve"> </w:t>
      </w:r>
      <w:r>
        <w:rPr>
          <w:b/>
          <w:bCs/>
        </w:rPr>
        <w:t xml:space="preserve">15+</w:t>
      </w:r>
      <w:r>
        <w:t xml:space="preserve"> </w:t>
      </w:r>
      <w:r>
        <w:t xml:space="preserve">is high,</w:t>
      </w:r>
      <w:r>
        <w:t xml:space="preserve"> </w:t>
      </w:r>
      <w:r>
        <w:rPr>
          <w:b/>
          <w:bCs/>
        </w:rPr>
        <w:t xml:space="preserve">6–14</w:t>
      </w:r>
      <w:r>
        <w:t xml:space="preserve"> </w:t>
      </w:r>
      <w:r>
        <w:t xml:space="preserve">is medium,</w:t>
      </w:r>
      <w:r>
        <w:t xml:space="preserve"> </w:t>
      </w:r>
      <w:r>
        <w:rPr>
          <w:b/>
          <w:bCs/>
        </w:rPr>
        <w:t xml:space="preserve">1–5</w:t>
      </w:r>
      <w:r>
        <w:t xml:space="preserve"> </w:t>
      </w:r>
      <w:r>
        <w:t xml:space="preserve">is low. Each risk records a</w:t>
      </w:r>
      <w:r>
        <w:t xml:space="preserve"> </w:t>
      </w:r>
      <w:r>
        <w:t xml:space="preserve">treatment (accept, mitigate, transfer, or avoid), a mitigation plan, and an owner.</w:t>
      </w:r>
    </w:p>
    <w:bookmarkEnd w:id="10"/>
    <w:bookmarkStart w:id="11" w:name="policies"/>
    <w:p>
      <w:pPr>
        <w:pStyle w:val="Heading2"/>
      </w:pPr>
      <w:r>
        <w:t xml:space="preserve">Policies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 preparation.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Approved and distributed.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Archived</w:t>
            </w:r>
          </w:p>
        </w:tc>
        <w:tc>
          <w:tcPr/>
          <w:p>
            <w:pPr>
              <w:pStyle w:val="Compact"/>
            </w:pPr>
            <w:r>
              <w:t xml:space="preserve">Superseded or retired.</w:t>
            </w:r>
          </w:p>
        </w:tc>
      </w:tr>
    </w:tbl>
    <w:bookmarkEnd w:id="11"/>
    <w:bookmarkStart w:id="12" w:name="compliance-audits"/>
    <w:p>
      <w:pPr>
        <w:pStyle w:val="Heading2"/>
      </w:pPr>
      <w:r>
        <w:t xml:space="preserve">Compliance &amp; audits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calendar</w:t>
      </w:r>
      <w:r>
        <w:t xml:space="preserve"> </w:t>
      </w:r>
      <w:r>
        <w:t xml:space="preserve">— recurring obligations (audits, filings, assessments) with</w:t>
      </w:r>
      <w:r>
        <w:t xml:space="preserve"> </w:t>
      </w:r>
      <w:r>
        <w:t xml:space="preserve">reminders ahead of each due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plans</w:t>
      </w:r>
      <w:r>
        <w:t xml:space="preserve"> </w:t>
      </w:r>
      <w:r>
        <w:t xml:space="preserve">— scope, dates, auditor, findings, and remediation tracking.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evidence</w:t>
      </w:r>
      <w:r>
        <w:t xml:space="preserve"> </w:t>
      </w:r>
      <w:r>
        <w:t xml:space="preserve">— attach evidence files to controls for SOC 2 / GDPR audit</w:t>
      </w:r>
      <w:r>
        <w:t xml:space="preserve"> </w:t>
      </w:r>
      <w:r>
        <w:t xml:space="preserve">trails.</w:t>
      </w:r>
    </w:p>
    <w:bookmarkEnd w:id="12"/>
    <w:bookmarkStart w:id="14" w:name="vendor-risk"/>
    <w:p>
      <w:pPr>
        <w:pStyle w:val="Heading2"/>
      </w:pPr>
      <w:r>
        <w:t xml:space="preserve">Vendor risk</w:t>
      </w:r>
    </w:p>
    <w:p>
      <w:pPr>
        <w:pStyle w:val="FirstParagraph"/>
      </w:pPr>
      <w:r>
        <w:t xml:space="preserve">Vendors are risk-tiered (Critical, High, Medium, Low) and assessed via questionnaires</w:t>
      </w:r>
      <w:r>
        <w:t xml:space="preserve"> </w:t>
      </w:r>
      <w:r>
        <w:t xml:space="preserve">that move through Pending → Sent → In progress → Completed. This complements the</w:t>
      </w:r>
      <w:r>
        <w:t xml:space="preserve"> </w:t>
      </w:r>
      <w:r>
        <w:t xml:space="preserve">commercial view in the</w:t>
      </w:r>
      <w:r>
        <w:t xml:space="preserve"> </w:t>
      </w:r>
      <w:hyperlink r:id="rId13">
        <w:r>
          <w:rPr>
            <w:rStyle w:val="Hyperlink"/>
          </w:rPr>
          <w:t xml:space="preserve">Vendors</w:t>
        </w:r>
      </w:hyperlink>
      <w:r>
        <w:t xml:space="preserve"> </w:t>
      </w:r>
      <w:r>
        <w:t xml:space="preserve">module.</w:t>
      </w:r>
    </w:p>
    <w:bookmarkEnd w:id="14"/>
    <w:bookmarkStart w:id="15" w:name="esg-reporting"/>
    <w:p>
      <w:pPr>
        <w:pStyle w:val="Heading2"/>
      </w:pPr>
      <w:r>
        <w:t xml:space="preserve">ESG reporting</w:t>
      </w:r>
    </w:p>
    <w:p>
      <w:pPr>
        <w:pStyle w:val="FirstParagraph"/>
      </w:pPr>
      <w:r>
        <w:t xml:space="preserve">The ESG view (</w:t>
      </w:r>
      <w:r>
        <w:rPr>
          <w:rStyle w:val="VerbatimChar"/>
        </w:rPr>
        <w:t xml:space="preserve">/app/esg</w:t>
      </w:r>
      <w:r>
        <w:t xml:space="preserve">) captures environmental, social, and governance metrics for</w:t>
      </w:r>
      <w:r>
        <w:t xml:space="preserve"> </w:t>
      </w:r>
      <w:r>
        <w:t xml:space="preserve">sustainability and disclosure reporting.</w:t>
      </w:r>
    </w:p>
    <w:bookmarkEnd w:id="15"/>
    <w:bookmarkStart w:id="17" w:name="approvals-workflow"/>
    <w:p>
      <w:pPr>
        <w:pStyle w:val="Heading2"/>
      </w:pPr>
      <w:r>
        <w:t xml:space="preserve">Approvals &amp; workflow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Approvals</w:t>
      </w:r>
      <w:r>
        <w:t xml:space="preserve"> </w:t>
      </w:r>
      <w:r>
        <w:t xml:space="preserve">queue (</w:t>
      </w:r>
      <w:r>
        <w:rPr>
          <w:rStyle w:val="VerbatimChar"/>
        </w:rPr>
        <w:t xml:space="preserve">/app/approvals</w:t>
      </w:r>
      <w:r>
        <w:t xml:space="preserve">) and the</w:t>
      </w:r>
      <w:r>
        <w:t xml:space="preserve"> </w:t>
      </w:r>
      <w:r>
        <w:rPr>
          <w:b/>
          <w:bCs/>
        </w:rPr>
        <w:t xml:space="preserve">Flow Designer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/app/flows</w:t>
      </w:r>
      <w:r>
        <w:t xml:space="preserve">)</w:t>
      </w:r>
      <w:r>
        <w:t xml:space="preserve"> </w:t>
      </w:r>
      <w:r>
        <w:t xml:space="preserve">power cross-module approval chains. See</w:t>
      </w:r>
      <w:r>
        <w:t xml:space="preserve"> </w:t>
      </w:r>
      <w:hyperlink r:id="rId16">
        <w:r>
          <w:rPr>
            <w:rStyle w:val="Hyperlink"/>
          </w:rPr>
          <w:t xml:space="preserve">Approvals &amp; Workflow</w:t>
        </w:r>
      </w:hyperlink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/modules/approvals" TargetMode="External" /><Relationship Type="http://schemas.openxmlformats.org/officeDocument/2006/relationships/hyperlink" Id="rId13" Target="/modules/vend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/modules/approvals" TargetMode="External" /><Relationship Type="http://schemas.openxmlformats.org/officeDocument/2006/relationships/hyperlink" Id="rId13" Target="/modules/vend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