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rategy-projects"/>
    <w:p>
      <w:pPr>
        <w:pStyle w:val="Heading1"/>
      </w:pPr>
      <w:r>
        <w:t xml:space="preserve">Strategy &amp; Projects</w:t>
      </w:r>
    </w:p>
    <w:p>
      <w:pPr>
        <w:pStyle w:val="FirstParagraph"/>
      </w:pPr>
      <w:r>
        <w:t xml:space="preserve">The Strategy Center is the home for portfolio and project work. It lives under</w:t>
      </w:r>
      <w:r>
        <w:t xml:space="preserve"> </w:t>
      </w:r>
      <w:r>
        <w:rPr>
          <w:b/>
          <w:bCs/>
        </w:rPr>
        <w:t xml:space="preserve">Strategy Center</w:t>
      </w:r>
      <w:r>
        <w:t xml:space="preserve"> </w:t>
      </w:r>
      <w:r>
        <w:t xml:space="preserve">in the sidebar, with the PMO workbench as the operational entry</w:t>
      </w:r>
      <w:r>
        <w:t xml:space="preserve"> </w:t>
      </w:r>
      <w:r>
        <w:t xml:space="preserve">point.</w:t>
      </w:r>
    </w:p>
    <w:bookmarkStart w:id="9" w:name="strategy-center"/>
    <w:p>
      <w:pPr>
        <w:pStyle w:val="Heading2"/>
      </w:pPr>
      <w:r>
        <w:t xml:space="preserve">Strategy Center</w:t>
      </w:r>
    </w:p>
    <w:p>
      <w:pPr>
        <w:pStyle w:val="FirstParagraph"/>
      </w:pPr>
      <w:r>
        <w:t xml:space="preserve">The overview (</w:t>
      </w:r>
      <w:r>
        <w:rPr>
          <w:rStyle w:val="VerbatimChar"/>
        </w:rPr>
        <w:t xml:space="preserve">/app/strategy</w:t>
      </w:r>
      <w:r>
        <w:t xml:space="preserve">) gives leadership a portfolio-level view of initiatives</w:t>
      </w:r>
      <w:r>
        <w:t xml:space="preserve"> </w:t>
      </w:r>
      <w:r>
        <w:t xml:space="preserve">and their health, tying execution back to strategic objectives and OKRs.</w:t>
      </w:r>
    </w:p>
    <w:bookmarkEnd w:id="9"/>
    <w:bookmarkStart w:id="10" w:name="initiatives-projects"/>
    <w:p>
      <w:pPr>
        <w:pStyle w:val="Heading2"/>
      </w:pPr>
      <w:r>
        <w:t xml:space="preserve">Initiatives &amp; projects</w:t>
      </w:r>
    </w:p>
    <w:p>
      <w:pPr>
        <w:pStyle w:val="FirstParagraph"/>
      </w:pPr>
      <w:r>
        <w:t xml:space="preserve">Initiatives and projects (</w:t>
      </w:r>
      <w:r>
        <w:rPr>
          <w:rStyle w:val="VerbatimChar"/>
        </w:rPr>
        <w:t xml:space="preserve">/app/projects</w:t>
      </w:r>
      <w:r>
        <w:t xml:space="preserve">) are the unit of delivery, each with a</w:t>
      </w:r>
      <w:r>
        <w:t xml:space="preserve"> </w:t>
      </w:r>
      <w:r>
        <w:t xml:space="preserve">detail page (</w:t>
      </w:r>
      <w:r>
        <w:rPr>
          <w:rStyle w:val="VerbatimChar"/>
        </w:rPr>
        <w:t xml:space="preserve">/app/projects/[id]</w:t>
      </w:r>
      <w:r>
        <w:t xml:space="preserve">) covering scope, milestones, tasks, and status.</w:t>
      </w:r>
      <w:r>
        <w:t xml:space="preserve"> </w:t>
      </w:r>
      <w:r>
        <w:t xml:space="preserve">Projects connect to the OKRs defined in Performance and HR so that delivery progress</w:t>
      </w:r>
      <w:r>
        <w:t xml:space="preserve"> </w:t>
      </w:r>
      <w:r>
        <w:t xml:space="preserve">rolls up to objectives.</w:t>
      </w:r>
    </w:p>
    <w:bookmarkEnd w:id="10"/>
    <w:bookmarkStart w:id="11" w:name="pmo-workbench"/>
    <w:p>
      <w:pPr>
        <w:pStyle w:val="Heading2"/>
      </w:pPr>
      <w:r>
        <w:t xml:space="preserve">PMO workbench</w:t>
      </w:r>
    </w:p>
    <w:p>
      <w:pPr>
        <w:pStyle w:val="FirstParagraph"/>
      </w:pPr>
      <w:r>
        <w:t xml:space="preserve">The PMO workbench (</w:t>
      </w:r>
      <w:r>
        <w:rPr>
          <w:rStyle w:val="VerbatimChar"/>
        </w:rPr>
        <w:t xml:space="preserve">/app/workbench/pmo</w:t>
      </w:r>
      <w:r>
        <w:t xml:space="preserve">) is a concentrated workspace for project</w:t>
      </w:r>
      <w:r>
        <w:t xml:space="preserve"> </w:t>
      </w:r>
      <w:r>
        <w:t xml:space="preserve">managers — a single place to triage projects, track milestones, and manage delivery</w:t>
      </w:r>
      <w:r>
        <w:t xml:space="preserve"> </w:t>
      </w:r>
      <w:r>
        <w:t xml:space="preserve">across the portfolio.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