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355"/>
          <w:sz w:val="52"/>
        </w:rPr>
        <w:t>CoheronConnect</w:t>
      </w:r>
    </w:p>
    <w:p>
      <w:r>
        <w:rPr>
          <w:color w:val="2B6CB0"/>
          <w:sz w:val="28"/>
        </w:rPr>
        <w:t>DPDP Act 2023 — Readiness Checklist</w:t>
      </w:r>
    </w:p>
    <w:p>
      <w:r>
        <w:rPr>
          <w:i/>
          <w:color w:val="555555"/>
          <w:sz w:val="19"/>
        </w:rPr>
        <w:t>Prepared 13 July 2026  •  For the founder and privacy counsel  •  Tracks both what the software does and the organisational/legal steps required. Technical items were verified against the source code.</w:t>
      </w:r>
    </w:p>
    <w:p/>
    <w:p>
      <w:pPr>
        <w:spacing w:before="280" w:after="120"/>
      </w:pPr>
      <w:r>
        <w:rPr>
          <w:b/>
          <w:color w:val="1F3355"/>
          <w:sz w:val="30"/>
        </w:rPr>
        <w:t>How to read this</w:t>
      </w:r>
    </w:p>
    <w:p>
      <w:pPr>
        <w:spacing w:after="120"/>
      </w:pPr>
      <w:r>
        <w:rPr>
          <w:b w:val="0"/>
          <w:i w:val="0"/>
          <w:sz w:val="22"/>
        </w:rPr>
        <w:t>"DPDP compliance" is a property of how the organisation operates — not of the software alone. The product provides DPDP-aligned tooling (consent, data-subject requests, breach register, automated compliance sweeps). Turning that tooling into compliance requires enabling the remaining technical items AND completing the organisational/legal items in Section B, with counsel sign-off.</w:t>
      </w:r>
    </w:p>
    <w:p>
      <w:pPr>
        <w:spacing w:after="120"/>
      </w:pPr>
      <w:r>
        <w:rPr>
          <w:b w:val="0"/>
          <w:i/>
          <w:color w:val="555555"/>
          <w:sz w:val="19"/>
        </w:rPr>
        <w:t>Status legend: DONE = built &amp; verified · PARTIAL = partly built · FLAG-OFF = built but disabled pending sign-off · NOT STARTED = not built · COUNSEL = legal/org action, outside code.</w:t>
      </w:r>
    </w:p>
    <w:p>
      <w:pPr>
        <w:spacing w:before="280" w:after="120"/>
      </w:pPr>
      <w:r>
        <w:rPr>
          <w:b/>
          <w:color w:val="1F3355"/>
          <w:sz w:val="30"/>
        </w:rPr>
        <w:t>Section A — Technical / product items</w:t>
      </w:r>
    </w:p>
    <w:p>
      <w:pPr>
        <w:spacing w:before="160" w:after="80"/>
      </w:pPr>
      <w:r>
        <w:rPr>
          <w:b/>
          <w:color w:val="2B6CB0"/>
          <w:sz w:val="26"/>
        </w:rPr>
        <w:t>A1. Consent (DPDP §6)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Consent ledger: grant / withdraw / renew / expire, per (principal, purpose)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Append-only ledger; withdrawal as easy as grant.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Automatic expiry of lapsed consents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Scheduled sweep expires granted consents past their expiry.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Principal-facing consent capture UI / notice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  <w:sz w:val="19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Backend exists; confirm front-end capture and §5 notice wording are wired.</w:t>
            </w:r>
          </w:p>
        </w:tc>
      </w:tr>
    </w:tbl>
    <w:p>
      <w:pPr>
        <w:spacing w:before="160" w:after="80"/>
      </w:pPr>
      <w:r>
        <w:rPr>
          <w:b/>
          <w:color w:val="2B6CB0"/>
          <w:sz w:val="26"/>
        </w:rPr>
        <w:t>A2. Data-subject rights (DPDP §11–14)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DSR intake with statutory response clock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Due date derived from receipt + response window.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DSR state machine + append-only event trail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Guarded transitions; full audit timeline.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Overdue-DSR alerting (automation)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Scheduled sweep raises internal alerts; deduped.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Right-to-erasure EXECUTION across all data stores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  <w:sz w:val="19"/>
              </w:rPr>
              <w:t>FLAG-OFF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Executor exists but disabled; erasure map covers 2 tables only. Needs counsel sign-off + full map.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Requestor identity verification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  <w:sz w:val="19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verifiable identity check on DSR requestors yet.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Principal-facing DSR intake portal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  <w:sz w:val="19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Confirm external submission channel is exposed and access-controlled.</w:t>
            </w:r>
          </w:p>
        </w:tc>
      </w:tr>
    </w:tbl>
    <w:p>
      <w:pPr>
        <w:spacing w:before="160" w:after="80"/>
      </w:pPr>
      <w:r>
        <w:rPr>
          <w:b/>
          <w:color w:val="2B6CB0"/>
          <w:sz w:val="26"/>
        </w:rPr>
        <w:t>A3. Breach handling (DPDP §8(6))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Breach register with notification clock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Notify-due derived from detection + jurisdiction window (72h default).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Breach state machine + event trail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Board / principals notification stamps tracked.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Overdue-breach notice generation (automation)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Sweep generates board + principal notices; deduped.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ACTUAL delivery of notices (Board / principals)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  <w:sz w:val="19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Notices are logged only; no real email/SMS/Board channel delivery yet.</w:t>
            </w:r>
          </w:p>
        </w:tc>
      </w:tr>
    </w:tbl>
    <w:p>
      <w:pPr>
        <w:spacing w:before="160" w:after="80"/>
      </w:pPr>
      <w:r>
        <w:rPr>
          <w:b/>
          <w:color w:val="2B6CB0"/>
          <w:sz w:val="26"/>
        </w:rPr>
        <w:t>A4. Security controls supporting DPDP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Access control (RBAC) over personal data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Enforced per request.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Tamper-evident audit trail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SHA-256 hash chain + verifier.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Encrypted credentials / secrets</w:t>
            </w:r>
          </w:p>
        </w:tc>
        <w:tc>
          <w:tcPr>
            <w:tcW w:type="dxa" w:w="2880"/>
          </w:tcPr>
          <w:p>
            <w:r>
              <w:rPr>
                <w:b/>
                <w:color w:val="1E7D32"/>
                <w:sz w:val="19"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AES-256 for integration secrets.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Field-level encryption of personal data at rest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  <w:sz w:val="19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Personal-data columns stored in plaintext.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Database row-level security (defence in depth)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  <w:sz w:val="19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Tenant isolation is app-layer only.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Two-factor authentication (TOTP)</w:t>
            </w:r>
          </w:p>
        </w:tc>
        <w:tc>
          <w:tcPr>
            <w:tcW w:type="dxa" w:w="2880"/>
          </w:tcPr>
          <w:p>
            <w:r>
              <w:rPr>
                <w:b/>
                <w:color w:val="B86E00"/>
                <w:sz w:val="19"/>
              </w:rPr>
              <w:t>PARTIAL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Enrollment flag + step-up exist; TOTP not wired.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 retention &amp; deletion policy enforced in product</w:t>
            </w:r>
          </w:p>
        </w:tc>
        <w:tc>
          <w:tcPr>
            <w:tcW w:type="dxa" w:w="2880"/>
          </w:tcPr>
          <w:p>
            <w:r>
              <w:rPr>
                <w:b/>
                <w:color w:val="C02A2A"/>
                <w:sz w:val="19"/>
              </w:rPr>
              <w:t>NOT STARTED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No automated retention/deletion schedule beyond consent expiry.</w:t>
            </w:r>
          </w:p>
        </w:tc>
      </w:tr>
    </w:tbl>
    <w:p>
      <w:pPr>
        <w:spacing w:before="280" w:after="120"/>
      </w:pPr>
      <w:r>
        <w:rPr>
          <w:b/>
          <w:color w:val="1F3355"/>
          <w:sz w:val="30"/>
        </w:rPr>
        <w:t>Section B — Organisational / legal items (counsel-led)</w:t>
      </w:r>
    </w:p>
    <w:p>
      <w:pPr>
        <w:spacing w:after="120"/>
      </w:pPr>
      <w:r>
        <w:rPr>
          <w:b w:val="0"/>
          <w:i/>
          <w:color w:val="555555"/>
          <w:sz w:val="19"/>
        </w:rPr>
        <w:t>These sit outside the software and are required for an actual compliance posture.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Appoint Data Protection Officer / point of contact (§13)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Named, published contactable channel.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Published grievance-redressal mechanism (§13)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Principal-facing route with response SLA.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Privacy notice &amp; consent wording reviewed (§5–6)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Plain-language, itemised purposes, withdrawal method.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Records of Processing Activities (RoPA) maintained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Kept current; linked to consent/DSR records.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Data-processing agreements with all sub-processors (§8)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Every third party touching personal data.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Retention &amp; deletion policy (documented)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Feeds the product retention item in A4.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Cross-border transfer position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Where data is hosted/processed; permitted-country stance.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Sign-off on the erasure map (delete vs anonymise per table)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Blocks enabling the flag-off erasure executor.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Alignment with notified DPDP Rules &amp; timelines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Configure statutory windows to the operative Rules once notified.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Breach notification runbook (who/when/how)</w:t>
            </w:r>
          </w:p>
        </w:tc>
        <w:tc>
          <w:tcPr>
            <w:tcW w:type="dxa" w:w="2880"/>
          </w:tcPr>
          <w:p>
            <w:r>
              <w:rPr>
                <w:b/>
                <w:color w:val="2B6CB0"/>
                <w:sz w:val="19"/>
              </w:rPr>
              <w:t>COUNSEL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Operational process behind the product's clock + notices.</w:t>
            </w:r>
          </w:p>
        </w:tc>
      </w:tr>
    </w:tbl>
    <w:p>
      <w:pPr>
        <w:spacing w:before="280" w:after="120"/>
      </w:pPr>
      <w:r>
        <w:rPr>
          <w:b/>
          <w:color w:val="1F3355"/>
          <w:sz w:val="30"/>
        </w:rPr>
        <w:t>Minimum gate before any "DPDP-ready" claim</w:t>
      </w:r>
    </w:p>
    <w:p>
      <w:pPr>
        <w:spacing w:after="80"/>
      </w:pPr>
      <w:r>
        <w:rPr>
          <w:b w:val="0"/>
          <w:i w:val="0"/>
          <w:sz w:val="22"/>
        </w:rPr>
        <w:t>The following must be true before making even a soft public claim:</w:t>
      </w:r>
    </w:p>
    <w:p>
      <w:pPr>
        <w:spacing w:after="40"/>
      </w:pPr>
      <w:r>
        <w:rPr>
          <w:b w:val="0"/>
          <w:i w:val="0"/>
          <w:sz w:val="22"/>
        </w:rPr>
      </w:r>
    </w:p>
    <w:p>
      <w:pPr>
        <w:pStyle w:val="ListNumber"/>
      </w:pPr>
      <w:r>
        <w:t>Erasure executor enabled with a counsel-approved, full erasure map (A2).</w:t>
      </w:r>
    </w:p>
    <w:p>
      <w:pPr>
        <w:pStyle w:val="ListNumber"/>
      </w:pPr>
      <w:r>
        <w:t>Breach &amp; DSR notices actually delivered, not just logged (A3, A2).</w:t>
      </w:r>
    </w:p>
    <w:p>
      <w:pPr>
        <w:pStyle w:val="ListNumber"/>
      </w:pPr>
      <w:r>
        <w:t>DPO appointed and grievance channel published (B).</w:t>
      </w:r>
    </w:p>
    <w:p>
      <w:pPr>
        <w:pStyle w:val="ListNumber"/>
      </w:pPr>
      <w:r>
        <w:t>Privacy notice / consent wording and RoPA signed off by counsel (B).</w:t>
      </w:r>
    </w:p>
    <w:p>
      <w:pPr>
        <w:pStyle w:val="ListNumber"/>
      </w:pPr>
      <w:r>
        <w:t>Retention/deletion policy documented and, ideally, enforced in-product (A4/B).</w:t>
      </w:r>
    </w:p>
    <w:p>
      <w:pPr>
        <w:spacing w:after="120"/>
      </w:pPr>
      <w:r>
        <w:rPr>
          <w:b w:val="0"/>
          <w:i/>
          <w:color w:val="555555"/>
          <w:sz w:val="20"/>
        </w:rPr>
        <w:t>Until then, the honest public position is: "CoheronConnect provides DPDP-aligned privacy tooling" — not "CoheronConnect is DPDP compliant."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