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355"/>
          <w:sz w:val="52"/>
        </w:rPr>
        <w:t>CoheronConnect</w:t>
      </w:r>
    </w:p>
    <w:p>
      <w:r>
        <w:rPr>
          <w:color w:val="2B6CB0"/>
          <w:sz w:val="28"/>
        </w:rPr>
        <w:t>India Market Pricing Strategy</w:t>
      </w:r>
    </w:p>
    <w:p>
      <w:r>
        <w:rPr>
          <w:i/>
          <w:color w:val="555555"/>
          <w:sz w:val="19"/>
        </w:rPr>
        <w:t>Version 1.0 (revised)  •  13 July 2026  •  Internal — Confidential</w:t>
      </w:r>
    </w:p>
    <w:p/>
    <w:p>
      <w:pPr>
        <w:spacing w:before="280" w:after="120"/>
      </w:pPr>
      <w:r>
        <w:rPr>
          <w:b/>
          <w:color w:val="1F3355"/>
          <w:sz w:val="28"/>
        </w:rPr>
        <w:t>The governing principle: anchored to the stack we replace</w:t>
      </w:r>
    </w:p>
    <w:p>
      <w:pPr>
        <w:spacing w:after="120"/>
      </w:pPr>
      <w:r>
        <w:rPr>
          <w:b w:val="0"/>
          <w:i w:val="0"/>
          <w:sz w:val="22"/>
        </w:rPr>
        <w:t>The India book is anchored to what an Indian SMB already pays for its fragmented stack (helpdesk/ITSM + project management + HRMS/payroll + ops and tail apps), not to a converted foreign price. It is an independent price book: it is never derived from, nor cross-referenced against, the US book on any customer-facing surface. Same tiers, same packaging as the US — only the numbers and the local anchor differ.</w:t>
      </w:r>
    </w:p>
    <w:p>
      <w:pPr>
        <w:spacing w:before="280" w:after="120"/>
      </w:pPr>
      <w:r>
        <w:rPr>
          <w:b/>
          <w:color w:val="1F3355"/>
          <w:sz w:val="30"/>
        </w:rPr>
        <w:t>1. The India Pricing Model</w:t>
      </w:r>
    </w:p>
    <w:p>
      <w:pPr>
        <w:spacing w:after="120"/>
      </w:pPr>
      <w:r>
        <w:rPr>
          <w:b w:val="0"/>
          <w:i w:val="0"/>
          <w:sz w:val="22"/>
        </w:rPr>
        <w:t>Flat platform pricing per tier — not per-seat, never per-module. Every tier includes the whole platform; price scales by company stage and size. The application itself is free — there is no software licence cost. What customers pay for is the platform (hosting, operations, security, uptime) and, at higher tiers, the human support and SLAs around it. “Flat price, whole company on the platform” reinforces the operating-system positioning and avoids per-seat fatigue as headcount grows.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Tier</w:t>
            </w:r>
          </w:p>
        </w:tc>
        <w:tc>
          <w:tcPr>
            <w:tcW w:type="dxa" w:w="1728"/>
          </w:tcPr>
          <w:p>
            <w:r>
              <w:rPr>
                <w:b/>
                <w:sz w:val="20"/>
              </w:rPr>
              <w:t>Size band</w:t>
            </w:r>
          </w:p>
        </w:tc>
        <w:tc>
          <w:tcPr>
            <w:tcW w:type="dxa" w:w="1728"/>
          </w:tcPr>
          <w:p>
            <w:r>
              <w:rPr>
                <w:b/>
                <w:sz w:val="20"/>
              </w:rPr>
              <w:t>Flat price (per org)</w:t>
            </w:r>
          </w:p>
        </w:tc>
        <w:tc>
          <w:tcPr>
            <w:tcW w:type="dxa" w:w="1728"/>
          </w:tcPr>
          <w:p>
            <w:r>
              <w:rPr>
                <w:b/>
                <w:sz w:val="20"/>
              </w:rPr>
              <w:t>Implied /seat at band top</w:t>
            </w:r>
          </w:p>
        </w:tc>
        <w:tc>
          <w:tcPr>
            <w:tcW w:type="dxa" w:w="1728"/>
          </w:tcPr>
          <w:p>
            <w:r>
              <w:rPr>
                <w:b/>
                <w:sz w:val="20"/>
              </w:rPr>
              <w:t>Support</w:t>
            </w:r>
          </w:p>
        </w:tc>
      </w:tr>
      <w:tr>
        <w:tc>
          <w:tcPr>
            <w:tcW w:type="dxa" w:w="1728"/>
          </w:tcPr>
          <w:p>
            <w:r>
              <w:rPr>
                <w:sz w:val="19"/>
              </w:rPr>
              <w:t>Start</w:t>
            </w:r>
          </w:p>
        </w:tc>
        <w:tc>
          <w:tcPr>
            <w:tcW w:type="dxa" w:w="1728"/>
          </w:tcPr>
          <w:p>
            <w:r>
              <w:rPr>
                <w:sz w:val="19"/>
              </w:rPr>
              <w:t>0-10 emp</w:t>
            </w:r>
          </w:p>
        </w:tc>
        <w:tc>
          <w:tcPr>
            <w:tcW w:type="dxa" w:w="1728"/>
          </w:tcPr>
          <w:p>
            <w:r>
              <w:rPr>
                <w:sz w:val="19"/>
              </w:rPr>
              <w:t>App free + ₹8,000/mo platform fee</w:t>
            </w:r>
          </w:p>
        </w:tc>
        <w:tc>
          <w:tcPr>
            <w:tcW w:type="dxa" w:w="1728"/>
          </w:tcPr>
          <w:p>
            <w:r>
              <w:rPr>
                <w:sz w:val="19"/>
              </w:rPr>
              <w:t>~₹800</w:t>
            </w:r>
          </w:p>
        </w:tc>
        <w:tc>
          <w:tcPr>
            <w:tcW w:type="dxa" w:w="1728"/>
          </w:tcPr>
          <w:p>
            <w:r>
              <w:rPr>
                <w:sz w:val="19"/>
              </w:rPr>
              <w:t>Self-serve only</w:t>
            </w:r>
          </w:p>
        </w:tc>
      </w:tr>
      <w:tr>
        <w:tc>
          <w:tcPr>
            <w:tcW w:type="dxa" w:w="1728"/>
          </w:tcPr>
          <w:p>
            <w:r>
              <w:rPr>
                <w:sz w:val="19"/>
              </w:rPr>
              <w:t>Launch</w:t>
            </w:r>
          </w:p>
        </w:tc>
        <w:tc>
          <w:tcPr>
            <w:tcW w:type="dxa" w:w="1728"/>
          </w:tcPr>
          <w:p>
            <w:r>
              <w:rPr>
                <w:sz w:val="19"/>
              </w:rPr>
              <w:t>10-40 emp</w:t>
            </w:r>
          </w:p>
        </w:tc>
        <w:tc>
          <w:tcPr>
            <w:tcW w:type="dxa" w:w="1728"/>
          </w:tcPr>
          <w:p>
            <w:r>
              <w:rPr>
                <w:sz w:val="19"/>
              </w:rPr>
              <w:t>₹28,000/mo flat</w:t>
            </w:r>
          </w:p>
        </w:tc>
        <w:tc>
          <w:tcPr>
            <w:tcW w:type="dxa" w:w="1728"/>
          </w:tcPr>
          <w:p>
            <w:r>
              <w:rPr>
                <w:sz w:val="19"/>
              </w:rPr>
              <w:t>~₹700</w:t>
            </w:r>
          </w:p>
        </w:tc>
        <w:tc>
          <w:tcPr>
            <w:tcW w:type="dxa" w:w="1728"/>
          </w:tcPr>
          <w:p>
            <w:r>
              <w:rPr>
                <w:sz w:val="19"/>
              </w:rPr>
              <w:t>Self-serve + email</w:t>
            </w:r>
          </w:p>
        </w:tc>
      </w:tr>
      <w:tr>
        <w:tc>
          <w:tcPr>
            <w:tcW w:type="dxa" w:w="1728"/>
          </w:tcPr>
          <w:p>
            <w:r>
              <w:rPr>
                <w:sz w:val="19"/>
              </w:rPr>
              <w:t>Grow</w:t>
            </w:r>
          </w:p>
        </w:tc>
        <w:tc>
          <w:tcPr>
            <w:tcW w:type="dxa" w:w="1728"/>
          </w:tcPr>
          <w:p>
            <w:r>
              <w:rPr>
                <w:sz w:val="19"/>
              </w:rPr>
              <w:t>40-75 emp</w:t>
            </w:r>
          </w:p>
        </w:tc>
        <w:tc>
          <w:tcPr>
            <w:tcW w:type="dxa" w:w="1728"/>
          </w:tcPr>
          <w:p>
            <w:r>
              <w:rPr>
                <w:sz w:val="19"/>
              </w:rPr>
              <w:t>₹45,000/mo flat</w:t>
            </w:r>
          </w:p>
        </w:tc>
        <w:tc>
          <w:tcPr>
            <w:tcW w:type="dxa" w:w="1728"/>
          </w:tcPr>
          <w:p>
            <w:r>
              <w:rPr>
                <w:sz w:val="19"/>
              </w:rPr>
              <w:t>~₹600</w:t>
            </w:r>
          </w:p>
        </w:tc>
        <w:tc>
          <w:tcPr>
            <w:tcW w:type="dxa" w:w="1728"/>
          </w:tcPr>
          <w:p>
            <w:r>
              <w:rPr>
                <w:sz w:val="19"/>
              </w:rPr>
              <w:t>Guided onboarding + priority</w:t>
            </w:r>
          </w:p>
        </w:tc>
      </w:tr>
      <w:tr>
        <w:tc>
          <w:tcPr>
            <w:tcW w:type="dxa" w:w="1728"/>
          </w:tcPr>
          <w:p>
            <w:r>
              <w:rPr>
                <w:sz w:val="19"/>
              </w:rPr>
              <w:t>Scale</w:t>
            </w:r>
          </w:p>
        </w:tc>
        <w:tc>
          <w:tcPr>
            <w:tcW w:type="dxa" w:w="1728"/>
          </w:tcPr>
          <w:p>
            <w:r>
              <w:rPr>
                <w:sz w:val="19"/>
              </w:rPr>
              <w:t>75-250 emp</w:t>
            </w:r>
          </w:p>
        </w:tc>
        <w:tc>
          <w:tcPr>
            <w:tcW w:type="dxa" w:w="1728"/>
          </w:tcPr>
          <w:p>
            <w:r>
              <w:rPr>
                <w:sz w:val="19"/>
              </w:rPr>
              <w:t>₹1,37,500/mo flat</w:t>
            </w:r>
          </w:p>
        </w:tc>
        <w:tc>
          <w:tcPr>
            <w:tcW w:type="dxa" w:w="1728"/>
          </w:tcPr>
          <w:p>
            <w:r>
              <w:rPr>
                <w:sz w:val="19"/>
              </w:rPr>
              <w:t>~₹550</w:t>
            </w:r>
          </w:p>
        </w:tc>
        <w:tc>
          <w:tcPr>
            <w:tcW w:type="dxa" w:w="1728"/>
          </w:tcPr>
          <w:p>
            <w:r>
              <w:rPr>
                <w:sz w:val="19"/>
              </w:rPr>
              <w:t>Dedicated CS + SLA</w:t>
            </w:r>
          </w:p>
        </w:tc>
      </w:tr>
      <w:tr>
        <w:tc>
          <w:tcPr>
            <w:tcW w:type="dxa" w:w="1728"/>
          </w:tcPr>
          <w:p>
            <w:r>
              <w:rPr>
                <w:sz w:val="19"/>
              </w:rPr>
              <w:t>Scale (Custom)</w:t>
            </w:r>
          </w:p>
        </w:tc>
        <w:tc>
          <w:tcPr>
            <w:tcW w:type="dxa" w:w="1728"/>
          </w:tcPr>
          <w:p>
            <w:r>
              <w:rPr>
                <w:sz w:val="19"/>
              </w:rPr>
              <w:t>250+ emp</w:t>
            </w:r>
          </w:p>
        </w:tc>
        <w:tc>
          <w:tcPr>
            <w:tcW w:type="dxa" w:w="1728"/>
          </w:tcPr>
          <w:p>
            <w:r>
              <w:rPr>
                <w:sz w:val="19"/>
              </w:rPr>
              <w:t>Custom quote</w:t>
            </w:r>
          </w:p>
        </w:tc>
        <w:tc>
          <w:tcPr>
            <w:tcW w:type="dxa" w:w="1728"/>
          </w:tcPr>
          <w:p>
            <w:r>
              <w:rPr>
                <w:sz w:val="19"/>
              </w:rPr>
              <w:t>~₹500</w:t>
            </w:r>
          </w:p>
        </w:tc>
        <w:tc>
          <w:tcPr>
            <w:tcW w:type="dxa" w:w="1728"/>
          </w:tcPr>
          <w:p>
            <w:r>
              <w:rPr>
                <w:sz w:val="19"/>
              </w:rPr>
              <w:t>Named CSM + custom SLA</w:t>
            </w:r>
          </w:p>
        </w:tc>
      </w:tr>
    </w:tbl>
    <w:p>
      <w:pPr>
        <w:spacing w:after="120"/>
      </w:pPr>
      <w:r>
        <w:rPr>
          <w:b w:val="0"/>
          <w:i w:val="0"/>
          <w:sz w:val="20"/>
        </w:rPr>
        <w:t>Billing is flat per organisation — a Launch customer pays ₹28,000 whether they are 25 or 40 people. The “implied per-seat” column is economics, not a billing basis: prices are tuned so the implied per-seat cost falls monotonically from ~₹800 (Start) to ~₹500 (Custom) as companies grow. This removes the earlier inversion where a smaller band was cheaper per head than a larger one. A minor, standard flat-band edge effect remains just below each band top; it is not eliminable without per-seat billing, which is deliberately not used.</w:t>
      </w:r>
    </w:p>
    <w:p>
      <w:pPr>
        <w:spacing w:after="120"/>
      </w:pPr>
      <w:r>
        <w:rPr>
          <w:b w:val="0"/>
          <w:i w:val="0"/>
          <w:sz w:val="20"/>
        </w:rPr>
        <w:t>Start is the lead-entry tier. The application is free to use; a flat ₹8,000/mo platform fee covers the infrastructure and platform operations the tenant consumes. Start is self-serve only — documentation, in-app onboarding, and ticket/community support, but no white-glove: no dedicated success manager, no hands-on implementation, no SLA. That absence is deliberate — human support is a tier differentiator, and the need for it is a natural trigger to move up to Launch or Grow.</w:t>
      </w:r>
    </w:p>
    <w:p>
      <w:pPr>
        <w:spacing w:after="120"/>
      </w:pPr>
      <w:r>
        <w:rPr>
          <w:b w:val="0"/>
          <w:i w:val="0"/>
          <w:sz w:val="20"/>
        </w:rPr>
        <w:t>Size bands prevent coarse-band underpricing: without ceilings, a 10-person and a 60-person company would pay the same. Start tops out at 10 employees, Launch at 40, Grow at 75; above that a company moves to Scale, and above ~250 employees it is quoted Custom rather than capped at the list ceiling.</w:t>
      </w:r>
    </w:p>
    <w:p>
      <w:pPr>
        <w:spacing w:before="280" w:after="120"/>
      </w:pPr>
      <w:r>
        <w:rPr>
          <w:b/>
          <w:color w:val="1F3355"/>
          <w:sz w:val="30"/>
        </w:rPr>
        <w:t>2. Why These Prices Hold Against the Market</w:t>
      </w:r>
    </w:p>
    <w:p>
      <w:pPr>
        <w:spacing w:after="120"/>
      </w:pPr>
      <w:r>
        <w:rPr>
          <w:b w:val="0"/>
          <w:i w:val="0"/>
          <w:sz w:val="22"/>
        </w:rPr>
        <w:t>The comparison an Indian buyer actually runs is not against another all-in-one — it is against the stack they already pay for. A typical 50-200 person Indian company runs a helpdesk/ITSM tool, a project tool, an HRMS/payroll system, plus a tail of smaller subscriptions: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Stack component</w:t>
            </w:r>
          </w:p>
        </w:tc>
        <w:tc>
          <w:tcPr>
            <w:tcW w:type="dxa" w:w="2880"/>
          </w:tcPr>
          <w:p>
            <w:r>
              <w:rPr>
                <w:b/>
                <w:sz w:val="20"/>
              </w:rPr>
              <w:t>Typical India spend /mo</w:t>
            </w:r>
          </w:p>
        </w:tc>
        <w:tc>
          <w:tcPr>
            <w:tcW w:type="dxa" w:w="2880"/>
          </w:tcPr>
          <w:p>
            <w:r>
              <w:rPr>
                <w:b/>
                <w:sz w:val="20"/>
              </w:rPr>
              <w:t>CoheronConnect</w:t>
            </w:r>
          </w:p>
        </w:tc>
      </w:tr>
      <w:tr>
        <w:tc>
          <w:tcPr>
            <w:tcW w:type="dxa" w:w="2880"/>
          </w:tcPr>
          <w:p>
            <w:r>
              <w:rPr>
                <w:sz w:val="19"/>
              </w:rPr>
              <w:t>Helpdesk / ITSM (Freshservice-class)</w:t>
            </w:r>
          </w:p>
        </w:tc>
        <w:tc>
          <w:tcPr>
            <w:tcW w:type="dxa" w:w="2880"/>
          </w:tcPr>
          <w:p>
            <w:r>
              <w:rPr>
                <w:sz w:val="19"/>
              </w:rPr>
              <w:t>₹25,000 - 60,000</w:t>
            </w:r>
          </w:p>
        </w:tc>
        <w:tc>
          <w:tcPr>
            <w:tcW w:type="dxa" w:w="2880"/>
          </w:tcPr>
          <w:p>
            <w:r>
              <w:rPr>
                <w:sz w:val="19"/>
              </w:rPr>
              <w:t>Included</w:t>
            </w:r>
          </w:p>
        </w:tc>
      </w:tr>
      <w:tr>
        <w:tc>
          <w:tcPr>
            <w:tcW w:type="dxa" w:w="2880"/>
          </w:tcPr>
          <w:p>
            <w:r>
              <w:rPr>
                <w:sz w:val="19"/>
              </w:rPr>
              <w:t>Work / project management</w:t>
            </w:r>
          </w:p>
        </w:tc>
        <w:tc>
          <w:tcPr>
            <w:tcW w:type="dxa" w:w="2880"/>
          </w:tcPr>
          <w:p>
            <w:r>
              <w:rPr>
                <w:sz w:val="19"/>
              </w:rPr>
              <w:t>₹15,000 - 35,000</w:t>
            </w:r>
          </w:p>
        </w:tc>
        <w:tc>
          <w:tcPr>
            <w:tcW w:type="dxa" w:w="2880"/>
          </w:tcPr>
          <w:p>
            <w:r>
              <w:rPr>
                <w:sz w:val="19"/>
              </w:rPr>
              <w:t>Included</w:t>
            </w:r>
          </w:p>
        </w:tc>
      </w:tr>
      <w:tr>
        <w:tc>
          <w:tcPr>
            <w:tcW w:type="dxa" w:w="2880"/>
          </w:tcPr>
          <w:p>
            <w:r>
              <w:rPr>
                <w:sz w:val="19"/>
              </w:rPr>
              <w:t>HRMS / payroll (Keka / greytHR-class)</w:t>
            </w:r>
          </w:p>
        </w:tc>
        <w:tc>
          <w:tcPr>
            <w:tcW w:type="dxa" w:w="2880"/>
          </w:tcPr>
          <w:p>
            <w:r>
              <w:rPr>
                <w:sz w:val="19"/>
              </w:rPr>
              <w:t>₹20,000 - 50,000</w:t>
            </w:r>
          </w:p>
        </w:tc>
        <w:tc>
          <w:tcPr>
            <w:tcW w:type="dxa" w:w="2880"/>
          </w:tcPr>
          <w:p>
            <w:r>
              <w:rPr>
                <w:sz w:val="19"/>
              </w:rPr>
              <w:t>Included</w:t>
            </w:r>
          </w:p>
        </w:tc>
      </w:tr>
      <w:tr>
        <w:tc>
          <w:tcPr>
            <w:tcW w:type="dxa" w:w="2880"/>
          </w:tcPr>
          <w:p>
            <w:r>
              <w:rPr>
                <w:sz w:val="19"/>
              </w:rPr>
              <w:t>Ops database, approvals, misc. tail apps</w:t>
            </w:r>
          </w:p>
        </w:tc>
        <w:tc>
          <w:tcPr>
            <w:tcW w:type="dxa" w:w="2880"/>
          </w:tcPr>
          <w:p>
            <w:r>
              <w:rPr>
                <w:sz w:val="19"/>
              </w:rPr>
              <w:t>₹15,000 - 40,000</w:t>
            </w:r>
          </w:p>
        </w:tc>
        <w:tc>
          <w:tcPr>
            <w:tcW w:type="dxa" w:w="2880"/>
          </w:tcPr>
          <w:p>
            <w:r>
              <w:rPr>
                <w:sz w:val="19"/>
              </w:rPr>
              <w:t>Included</w:t>
            </w:r>
          </w:p>
        </w:tc>
      </w:tr>
      <w:tr>
        <w:tc>
          <w:tcPr>
            <w:tcW w:type="dxa" w:w="2880"/>
          </w:tcPr>
          <w:p>
            <w:r>
              <w:rPr>
                <w:b/>
                <w:sz w:val="19"/>
              </w:rPr>
              <w:t>Typical stack total</w:t>
            </w:r>
          </w:p>
        </w:tc>
        <w:tc>
          <w:tcPr>
            <w:tcW w:type="dxa" w:w="2880"/>
          </w:tcPr>
          <w:p>
            <w:r>
              <w:rPr>
                <w:b/>
                <w:sz w:val="19"/>
              </w:rPr>
              <w:t>₹75,000 - 1,85,000</w:t>
            </w:r>
          </w:p>
        </w:tc>
        <w:tc>
          <w:tcPr>
            <w:tcW w:type="dxa" w:w="2880"/>
          </w:tcPr>
          <w:p>
            <w:r>
              <w:rPr>
                <w:b/>
                <w:sz w:val="19"/>
              </w:rPr>
              <w:t>₹35,000 (Grow) flat</w:t>
            </w:r>
          </w:p>
        </w:tc>
      </w:tr>
    </w:tbl>
    <w:p>
      <w:pPr>
        <w:spacing w:after="120"/>
      </w:pPr>
      <w:r>
        <w:rPr>
          <w:b w:val="0"/>
          <w:i w:val="0"/>
          <w:sz w:val="22"/>
        </w:rPr>
        <w:t>At ₹45,000 flat, Grow sits well below the ₹75,000-1,85,000 stack it replaces — an easy switch on cost alone, while still credible and far above a point-tool price. Pricing to a converted foreign number, or to bare per-seat economics, would leave most of this stack-replacement value on the table and give no room to fund support at the higher tiers.</w:t>
      </w:r>
    </w:p>
    <w:p>
      <w:pPr>
        <w:spacing w:before="280" w:after="120"/>
      </w:pPr>
      <w:r>
        <w:rPr>
          <w:b/>
          <w:color w:val="1F3355"/>
          <w:sz w:val="30"/>
        </w:rPr>
        <w:t>3. Price-Book Hygiene</w:t>
      </w:r>
    </w:p>
    <w:p>
      <w:pPr>
        <w:spacing w:after="120"/>
      </w:pPr>
      <w:r>
        <w:rPr>
          <w:b w:val="0"/>
          <w:i w:val="0"/>
          <w:sz w:val="20"/>
        </w:rPr>
        <w:t>Independent, geo-separated pricing pages. Indian visitors see INR pricing only; the book is never presented alongside, or derived from, any other market's pricing. The cross-market comparison is internally understood and externally invisible.</w:t>
      </w:r>
    </w:p>
    <w:p>
      <w:pPr>
        <w:spacing w:after="120"/>
      </w:pPr>
      <w:r>
        <w:rPr>
          <w:b w:val="0"/>
          <w:i w:val="0"/>
          <w:sz w:val="20"/>
        </w:rPr>
        <w:t>Annual incentive. Monthly billing is common in the Indian SMB market; annual commitments are incentivised (a fixed number of months free or an equivalent discount) to stabilise revenue.</w:t>
      </w:r>
    </w:p>
    <w:p>
      <w:pPr>
        <w:spacing w:after="120"/>
      </w:pPr>
      <w:r>
        <w:rPr>
          <w:b w:val="0"/>
          <w:i w:val="0"/>
          <w:sz w:val="20"/>
        </w:rPr>
        <w:t>Negotiation posture. List is list. Standard concessions on annual commitments are bounded; anything deeper is founder-approved and exchanged for term length, case-study rights, or reference calls — never given away unpriced.</w:t>
      </w:r>
    </w:p>
    <w:p>
      <w:pPr>
        <w:spacing w:after="120"/>
      </w:pPr>
      <w:r>
        <w:rPr>
          <w:b w:val="0"/>
          <w:i w:val="0"/>
          <w:sz w:val="20"/>
        </w:rPr>
        <w:t>Cross-border edge case. An Indian company transacting through a foreign entity buys on the book of the entity that signs the contract and receives the invoice.</w:t>
      </w:r>
    </w:p>
    <w:p>
      <w:pPr>
        <w:spacing w:before="280" w:after="120"/>
      </w:pPr>
      <w:r>
        <w:rPr>
          <w:b/>
          <w:color w:val="1F3355"/>
          <w:sz w:val="30"/>
        </w:rPr>
        <w:t>4. Founding-Partner (Pilot) Terms</w:t>
      </w:r>
    </w:p>
    <w:p>
      <w:pPr>
        <w:spacing w:after="120"/>
      </w:pPr>
      <w:r>
        <w:rPr>
          <w:b w:val="0"/>
          <w:i w:val="0"/>
          <w:sz w:val="22"/>
        </w:rPr>
        <w:t>Early Indian customers should be priced off list, not around it — the discount must be framed as a named program that protects the anchor rather than eroding it. This mirrors the “100 Believers” founding-customer motion.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Element</w:t>
            </w:r>
          </w:p>
        </w:tc>
        <w:tc>
          <w:tcPr>
            <w:tcW w:type="dxa" w:w="4320"/>
          </w:tcPr>
          <w:p>
            <w:r>
              <w:rPr>
                <w:b/>
                <w:sz w:val="20"/>
              </w:rPr>
              <w:t>Recommendation</w:t>
            </w:r>
          </w:p>
        </w:tc>
      </w:tr>
      <w:tr>
        <w:tc>
          <w:tcPr>
            <w:tcW w:type="dxa" w:w="4320"/>
          </w:tcPr>
          <w:p>
            <w:r>
              <w:rPr>
                <w:sz w:val="19"/>
              </w:rPr>
              <w:t>Frame</w:t>
            </w:r>
          </w:p>
        </w:tc>
        <w:tc>
          <w:tcPr>
            <w:tcW w:type="dxa" w:w="4320"/>
          </w:tcPr>
          <w:p>
            <w:r>
              <w:rPr>
                <w:sz w:val="19"/>
              </w:rPr>
              <w:t>“Founding partner” — a named program, not a discount.</w:t>
            </w:r>
          </w:p>
        </w:tc>
      </w:tr>
      <w:tr>
        <w:tc>
          <w:tcPr>
            <w:tcW w:type="dxa" w:w="4320"/>
          </w:tcPr>
          <w:p>
            <w:r>
              <w:rPr>
                <w:sz w:val="19"/>
              </w:rPr>
              <w:t>Price</w:t>
            </w:r>
          </w:p>
        </w:tc>
        <w:tc>
          <w:tcPr>
            <w:tcW w:type="dxa" w:w="4320"/>
          </w:tcPr>
          <w:p>
            <w:r>
              <w:rPr>
                <w:sz w:val="19"/>
              </w:rPr>
              <w:t>₹27,000/mo (~40% off the ₹45,000 Grow list) on a 12-month agreement; list price stated on the order form with the program credit shown against it.</w:t>
            </w:r>
          </w:p>
        </w:tc>
      </w:tr>
      <w:tr>
        <w:tc>
          <w:tcPr>
            <w:tcW w:type="dxa" w:w="4320"/>
          </w:tcPr>
          <w:p>
            <w:r>
              <w:rPr>
                <w:sz w:val="19"/>
              </w:rPr>
              <w:t>Exchange</w:t>
            </w:r>
          </w:p>
        </w:tc>
        <w:tc>
          <w:tcPr>
            <w:tcW w:type="dxa" w:w="4320"/>
          </w:tcPr>
          <w:p>
            <w:r>
              <w:rPr>
                <w:sz w:val="19"/>
              </w:rPr>
              <w:t>Feedback sessions, India case study + logo rights, 2 reference calls, input on the roadmap.</w:t>
            </w:r>
          </w:p>
        </w:tc>
      </w:tr>
      <w:tr>
        <w:tc>
          <w:tcPr>
            <w:tcW w:type="dxa" w:w="4320"/>
          </w:tcPr>
          <w:p>
            <w:r>
              <w:rPr>
                <w:sz w:val="19"/>
              </w:rPr>
              <w:t>Expiry</w:t>
            </w:r>
          </w:p>
        </w:tc>
        <w:tc>
          <w:tcPr>
            <w:tcW w:type="dxa" w:w="4320"/>
          </w:tcPr>
          <w:p>
            <w:r>
              <w:rPr>
                <w:sz w:val="19"/>
              </w:rPr>
              <w:t>Program pricing holds 24 months, then steps to then-current list minus a loyalty tier — stated in the agreement so there is no renewal shock.</w:t>
            </w:r>
          </w:p>
        </w:tc>
      </w:tr>
      <w:tr>
        <w:tc>
          <w:tcPr>
            <w:tcW w:type="dxa" w:w="4320"/>
          </w:tcPr>
          <w:p>
            <w:r>
              <w:rPr>
                <w:sz w:val="19"/>
              </w:rPr>
              <w:t>Scarcity</w:t>
            </w:r>
          </w:p>
        </w:tc>
        <w:tc>
          <w:tcPr>
            <w:tcW w:type="dxa" w:w="4320"/>
          </w:tcPr>
          <w:p>
            <w:r>
              <w:rPr>
                <w:sz w:val="19"/>
              </w:rPr>
              <w:t>A capped founding-partner cohort. Scarcity keeps the concession from becoming the street price.</w:t>
            </w:r>
          </w:p>
        </w:tc>
      </w:tr>
    </w:tbl>
    <w:p>
      <w:pPr>
        <w:spacing w:before="280" w:after="120"/>
      </w:pPr>
      <w:r>
        <w:rPr>
          <w:b/>
          <w:color w:val="1F3355"/>
          <w:sz w:val="30"/>
        </w:rPr>
        <w:t>5. The ₹15 Cr ARR View on This Ladder</w:t>
      </w:r>
    </w:p>
    <w:p>
      <w:pPr>
        <w:spacing w:after="120"/>
      </w:pPr>
      <w:r>
        <w:rPr>
          <w:b w:val="0"/>
          <w:i w:val="0"/>
          <w:sz w:val="22"/>
        </w:rPr>
        <w:t>₹15 Cr ARR = ₹1.25 Cr MRR. Start is counted as revenue — its ₹8,000/mo platform fee is real recurring revenue and contributes to ARR, even though it is largely cost-recovery and therefore margin-light. It is revenue for top-line purposes and a low-margin line for profitability purposes; both are true and are kept distinct.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Tier</w:t>
            </w:r>
          </w:p>
        </w:tc>
        <w:tc>
          <w:tcPr>
            <w:tcW w:type="dxa" w:w="1728"/>
          </w:tcPr>
          <w:p>
            <w:r>
              <w:rPr>
                <w:b/>
                <w:sz w:val="20"/>
              </w:rPr>
              <w:t>Price /mo</w:t>
            </w:r>
          </w:p>
        </w:tc>
        <w:tc>
          <w:tcPr>
            <w:tcW w:type="dxa" w:w="1728"/>
          </w:tcPr>
          <w:p>
            <w:r>
              <w:rPr>
                <w:b/>
                <w:sz w:val="20"/>
              </w:rPr>
              <w:t>Illustrative customers</w:t>
            </w:r>
          </w:p>
        </w:tc>
        <w:tc>
          <w:tcPr>
            <w:tcW w:type="dxa" w:w="1728"/>
          </w:tcPr>
          <w:p>
            <w:r>
              <w:rPr>
                <w:b/>
                <w:sz w:val="20"/>
              </w:rPr>
              <w:t>MRR</w:t>
            </w:r>
          </w:p>
        </w:tc>
        <w:tc>
          <w:tcPr>
            <w:tcW w:type="dxa" w:w="1728"/>
          </w:tcPr>
          <w:p>
            <w:r>
              <w:rPr>
                <w:b/>
                <w:sz w:val="20"/>
              </w:rPr>
              <w:t>ARR</w:t>
            </w:r>
          </w:p>
        </w:tc>
      </w:tr>
      <w:tr>
        <w:tc>
          <w:tcPr>
            <w:tcW w:type="dxa" w:w="1728"/>
          </w:tcPr>
          <w:p>
            <w:r>
              <w:rPr>
                <w:sz w:val="19"/>
              </w:rPr>
              <w:t>Start</w:t>
            </w:r>
          </w:p>
        </w:tc>
        <w:tc>
          <w:tcPr>
            <w:tcW w:type="dxa" w:w="1728"/>
          </w:tcPr>
          <w:p>
            <w:r>
              <w:rPr>
                <w:sz w:val="19"/>
              </w:rPr>
              <w:t>₹8,000</w:t>
            </w:r>
          </w:p>
        </w:tc>
        <w:tc>
          <w:tcPr>
            <w:tcW w:type="dxa" w:w="1728"/>
          </w:tcPr>
          <w:p>
            <w:r>
              <w:rPr>
                <w:sz w:val="19"/>
              </w:rPr>
              <w:t>200</w:t>
            </w:r>
          </w:p>
        </w:tc>
        <w:tc>
          <w:tcPr>
            <w:tcW w:type="dxa" w:w="1728"/>
          </w:tcPr>
          <w:p>
            <w:r>
              <w:rPr>
                <w:sz w:val="19"/>
              </w:rPr>
              <w:t>₹16.0 L</w:t>
            </w:r>
          </w:p>
        </w:tc>
        <w:tc>
          <w:tcPr>
            <w:tcW w:type="dxa" w:w="1728"/>
          </w:tcPr>
          <w:p>
            <w:r>
              <w:rPr>
                <w:sz w:val="19"/>
              </w:rPr>
              <w:t>₹1.92 Cr</w:t>
            </w:r>
          </w:p>
        </w:tc>
      </w:tr>
      <w:tr>
        <w:tc>
          <w:tcPr>
            <w:tcW w:type="dxa" w:w="1728"/>
          </w:tcPr>
          <w:p>
            <w:r>
              <w:rPr>
                <w:sz w:val="19"/>
              </w:rPr>
              <w:t>Launch</w:t>
            </w:r>
          </w:p>
        </w:tc>
        <w:tc>
          <w:tcPr>
            <w:tcW w:type="dxa" w:w="1728"/>
          </w:tcPr>
          <w:p>
            <w:r>
              <w:rPr>
                <w:sz w:val="19"/>
              </w:rPr>
              <w:t>₹28,000</w:t>
            </w:r>
          </w:p>
        </w:tc>
        <w:tc>
          <w:tcPr>
            <w:tcW w:type="dxa" w:w="1728"/>
          </w:tcPr>
          <w:p>
            <w:r>
              <w:rPr>
                <w:sz w:val="19"/>
              </w:rPr>
              <w:t>130</w:t>
            </w:r>
          </w:p>
        </w:tc>
        <w:tc>
          <w:tcPr>
            <w:tcW w:type="dxa" w:w="1728"/>
          </w:tcPr>
          <w:p>
            <w:r>
              <w:rPr>
                <w:sz w:val="19"/>
              </w:rPr>
              <w:t>₹36.4 L</w:t>
            </w:r>
          </w:p>
        </w:tc>
        <w:tc>
          <w:tcPr>
            <w:tcW w:type="dxa" w:w="1728"/>
          </w:tcPr>
          <w:p>
            <w:r>
              <w:rPr>
                <w:sz w:val="19"/>
              </w:rPr>
              <w:t>₹4.37 Cr</w:t>
            </w:r>
          </w:p>
        </w:tc>
      </w:tr>
      <w:tr>
        <w:tc>
          <w:tcPr>
            <w:tcW w:type="dxa" w:w="1728"/>
          </w:tcPr>
          <w:p>
            <w:r>
              <w:rPr>
                <w:sz w:val="19"/>
              </w:rPr>
              <w:t>Grow</w:t>
            </w:r>
          </w:p>
        </w:tc>
        <w:tc>
          <w:tcPr>
            <w:tcW w:type="dxa" w:w="1728"/>
          </w:tcPr>
          <w:p>
            <w:r>
              <w:rPr>
                <w:sz w:val="19"/>
              </w:rPr>
              <w:t>₹45,000</w:t>
            </w:r>
          </w:p>
        </w:tc>
        <w:tc>
          <w:tcPr>
            <w:tcW w:type="dxa" w:w="1728"/>
          </w:tcPr>
          <w:p>
            <w:r>
              <w:rPr>
                <w:sz w:val="19"/>
              </w:rPr>
              <w:t>70</w:t>
            </w:r>
          </w:p>
        </w:tc>
        <w:tc>
          <w:tcPr>
            <w:tcW w:type="dxa" w:w="1728"/>
          </w:tcPr>
          <w:p>
            <w:r>
              <w:rPr>
                <w:sz w:val="19"/>
              </w:rPr>
              <w:t>₹31.5 L</w:t>
            </w:r>
          </w:p>
        </w:tc>
        <w:tc>
          <w:tcPr>
            <w:tcW w:type="dxa" w:w="1728"/>
          </w:tcPr>
          <w:p>
            <w:r>
              <w:rPr>
                <w:sz w:val="19"/>
              </w:rPr>
              <w:t>₹3.78 Cr</w:t>
            </w:r>
          </w:p>
        </w:tc>
      </w:tr>
      <w:tr>
        <w:tc>
          <w:tcPr>
            <w:tcW w:type="dxa" w:w="1728"/>
          </w:tcPr>
          <w:p>
            <w:r>
              <w:rPr>
                <w:sz w:val="19"/>
              </w:rPr>
              <w:t>Scale</w:t>
            </w:r>
          </w:p>
        </w:tc>
        <w:tc>
          <w:tcPr>
            <w:tcW w:type="dxa" w:w="1728"/>
          </w:tcPr>
          <w:p>
            <w:r>
              <w:rPr>
                <w:sz w:val="19"/>
              </w:rPr>
              <w:t>₹1,37,500</w:t>
            </w:r>
          </w:p>
        </w:tc>
        <w:tc>
          <w:tcPr>
            <w:tcW w:type="dxa" w:w="1728"/>
          </w:tcPr>
          <w:p>
            <w:r>
              <w:rPr>
                <w:sz w:val="19"/>
              </w:rPr>
              <w:t>20</w:t>
            </w:r>
          </w:p>
        </w:tc>
        <w:tc>
          <w:tcPr>
            <w:tcW w:type="dxa" w:w="1728"/>
          </w:tcPr>
          <w:p>
            <w:r>
              <w:rPr>
                <w:sz w:val="19"/>
              </w:rPr>
              <w:t>₹27.5 L</w:t>
            </w:r>
          </w:p>
        </w:tc>
        <w:tc>
          <w:tcPr>
            <w:tcW w:type="dxa" w:w="1728"/>
          </w:tcPr>
          <w:p>
            <w:r>
              <w:rPr>
                <w:sz w:val="19"/>
              </w:rPr>
              <w:t>₹3.30 Cr</w:t>
            </w:r>
          </w:p>
        </w:tc>
      </w:tr>
      <w:tr>
        <w:tc>
          <w:tcPr>
            <w:tcW w:type="dxa" w:w="1728"/>
          </w:tcPr>
          <w:p>
            <w:r>
              <w:rPr>
                <w:sz w:val="19"/>
              </w:rPr>
              <w:t>Scale (Custom)</w:t>
            </w:r>
          </w:p>
        </w:tc>
        <w:tc>
          <w:tcPr>
            <w:tcW w:type="dxa" w:w="1728"/>
          </w:tcPr>
          <w:p>
            <w:r>
              <w:rPr>
                <w:sz w:val="19"/>
              </w:rPr>
              <w:t>₹2,00,000</w:t>
            </w:r>
          </w:p>
        </w:tc>
        <w:tc>
          <w:tcPr>
            <w:tcW w:type="dxa" w:w="1728"/>
          </w:tcPr>
          <w:p>
            <w:r>
              <w:rPr>
                <w:sz w:val="19"/>
              </w:rPr>
              <w:t>7</w:t>
            </w:r>
          </w:p>
        </w:tc>
        <w:tc>
          <w:tcPr>
            <w:tcW w:type="dxa" w:w="1728"/>
          </w:tcPr>
          <w:p>
            <w:r>
              <w:rPr>
                <w:sz w:val="19"/>
              </w:rPr>
              <w:t>₹14.0 L</w:t>
            </w:r>
          </w:p>
        </w:tc>
        <w:tc>
          <w:tcPr>
            <w:tcW w:type="dxa" w:w="1728"/>
          </w:tcPr>
          <w:p>
            <w:r>
              <w:rPr>
                <w:sz w:val="19"/>
              </w:rPr>
              <w:t>₹1.68 Cr</w:t>
            </w:r>
          </w:p>
        </w:tc>
      </w:tr>
      <w:tr>
        <w:tc>
          <w:tcPr>
            <w:tcW w:type="dxa" w:w="1728"/>
          </w:tcPr>
          <w:p>
            <w:r>
              <w:rPr>
                <w:b/>
                <w:sz w:val="19"/>
              </w:rPr>
              <w:t>Total</w:t>
            </w:r>
          </w:p>
        </w:tc>
        <w:tc>
          <w:tcPr>
            <w:tcW w:type="dxa" w:w="1728"/>
          </w:tcPr>
          <w:p>
            <w:r>
              <w:rPr>
                <w:b/>
                <w:sz w:val="19"/>
              </w:rPr>
              <w:t>—</w:t>
            </w:r>
          </w:p>
        </w:tc>
        <w:tc>
          <w:tcPr>
            <w:tcW w:type="dxa" w:w="1728"/>
          </w:tcPr>
          <w:p>
            <w:r>
              <w:rPr>
                <w:b/>
                <w:sz w:val="19"/>
              </w:rPr>
              <w:t>~427</w:t>
            </w:r>
          </w:p>
        </w:tc>
        <w:tc>
          <w:tcPr>
            <w:tcW w:type="dxa" w:w="1728"/>
          </w:tcPr>
          <w:p>
            <w:r>
              <w:rPr>
                <w:b/>
                <w:sz w:val="19"/>
              </w:rPr>
              <w:t>₹1.25 Cr</w:t>
            </w:r>
          </w:p>
        </w:tc>
        <w:tc>
          <w:tcPr>
            <w:tcW w:type="dxa" w:w="1728"/>
          </w:tcPr>
          <w:p>
            <w:r>
              <w:rPr>
                <w:b/>
                <w:sz w:val="19"/>
              </w:rPr>
              <w:t>~₹15.05 Cr</w:t>
            </w:r>
          </w:p>
        </w:tc>
      </w:tr>
    </w:tbl>
    <w:p>
      <w:pPr>
        <w:spacing w:after="120"/>
      </w:pPr>
      <w:r>
        <w:rPr>
          <w:b w:val="0"/>
          <w:i w:val="0"/>
          <w:sz w:val="20"/>
        </w:rPr>
        <w:t>Roughly 427 paying customers reach ~₹15 Cr ARR on this ladder. Start contributes ~₹1.92 Cr (~13% of ARR) — meaningful top-line, but margin-light; the profit engine is Launch, Grow, Scale and Custom. Counting Start as revenue (rather than excluding it) is the honest top-line view.</w:t>
      </w:r>
    </w:p>
    <w:p>
      <w:pPr>
        <w:spacing w:before="280" w:after="120"/>
      </w:pPr>
      <w:r>
        <w:rPr>
          <w:b/>
          <w:color w:val="1F3355"/>
          <w:sz w:val="30"/>
        </w:rPr>
        <w:t>6. Open Items</w:t>
      </w:r>
    </w:p>
    <w:p>
      <w:pPr>
        <w:spacing w:after="40"/>
      </w:pPr>
      <w:r>
        <w:rPr>
          <w:b w:val="0"/>
          <w:i w:val="0"/>
          <w:sz w:val="20"/>
        </w:rPr>
        <w:t>1. Validate the stack-basket figures against a real prospect's actual current spend during discovery — their real invoice total is the best sales asset available.</w:t>
      </w:r>
    </w:p>
    <w:p>
      <w:pPr>
        <w:spacing w:after="40"/>
      </w:pPr>
      <w:r>
        <w:rPr>
          <w:b w:val="0"/>
          <w:i w:val="0"/>
          <w:sz w:val="20"/>
        </w:rPr>
        <w:t>2. Confirm what the Start platform fee covers in writing (infra + platform ops + self-serve support) and the usage/headcount limits that trigger a move to Launch.</w:t>
      </w:r>
    </w:p>
    <w:p>
      <w:pPr>
        <w:spacing w:after="40"/>
      </w:pPr>
      <w:r>
        <w:rPr>
          <w:b w:val="0"/>
          <w:i w:val="0"/>
          <w:sz w:val="20"/>
        </w:rPr>
        <w:t>3. Lock the exact Launch-to-Grow, Grow-to-Scale and Scale-to-Custom thresholds in billing (10 / 40 / 75 / 250 employees are the working defaults).</w:t>
      </w:r>
    </w:p>
    <w:p>
      <w:pPr>
        <w:spacing w:after="120"/>
      </w:pPr>
      <w:r>
        <w:rPr>
          <w:b w:val="0"/>
          <w:i w:val="0"/>
          <w:sz w:val="20"/>
        </w:rPr>
        <w:t>4. Confirm the Custom planning basis (₹2,00,000/mo used in the ARR view) and the founding-partner cohort cap.</w:t>
      </w:r>
    </w:p>
    <w:p>
      <w:pPr>
        <w:spacing w:before="280" w:after="120"/>
      </w:pPr>
      <w:r>
        <w:rPr>
          <w:b/>
          <w:color w:val="1E7D32"/>
          <w:sz w:val="30"/>
        </w:rPr>
        <w:t>Bottom line</w:t>
      </w:r>
    </w:p>
    <w:p>
      <w:pPr>
        <w:spacing w:after="120"/>
      </w:pPr>
      <w:r>
        <w:rPr>
          <w:b w:val="0"/>
          <w:i/>
          <w:color w:val="555555"/>
          <w:sz w:val="20"/>
        </w:rPr>
        <w:t>India list (flat per-org, whole platform included, tuned so implied per-seat falls ₹800→₹500): Start — app free + ₹8,000/mo platform fee, self-serve only; Launch ₹28,000 (10-40 emp); Grow ₹45,000 (40-75 emp); Scale ₹1,37,500 (75-250); Custom above 250. Priced by stage and size, never by module or seat. Anchored to the ₹75,000-1,85,000 fragmented stack it replaces and independent of any other market's book. Start counts as revenue (~₹1.92 Cr, margin-light); ~427 customers reach ~₹15 Cr ARR. Founding partners land at ₹27,000/mo. All figures are working numbers pending validation against real prospect spend.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