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355"/>
          <w:sz w:val="52"/>
        </w:rPr>
        <w:t>CoheronConnect</w:t>
      </w:r>
    </w:p>
    <w:p>
      <w:r>
        <w:rPr>
          <w:color w:val="2B6CB0"/>
          <w:sz w:val="28"/>
        </w:rPr>
        <w:t>Security &amp; Compliance — Website Messaging Brief</w:t>
      </w:r>
    </w:p>
    <w:p>
      <w:r>
        <w:rPr>
          <w:i/>
          <w:color w:val="555555"/>
          <w:sz w:val="19"/>
        </w:rPr>
        <w:t>Prepared 13 July 2026  •  For the website / marketing team  •  Every 'Available Today' item below is implemented in the live product and was verified against the source code. Nothing here is aspirational.</w:t>
      </w:r>
    </w:p>
    <w:p/>
    <w:p>
      <w:pPr>
        <w:spacing w:before="280" w:after="120"/>
      </w:pPr>
      <w:r>
        <w:rPr>
          <w:b/>
          <w:color w:val="1F3355"/>
          <w:sz w:val="30"/>
        </w:rPr>
        <w:t>The one rule for this page</w:t>
      </w:r>
    </w:p>
    <w:p>
      <w:pPr>
        <w:spacing w:after="120"/>
      </w:pPr>
      <w:r>
        <w:rPr>
          <w:b w:val="0"/>
          <w:i w:val="0"/>
          <w:sz w:val="22"/>
        </w:rPr>
        <w:t>Describe the security controls we actually operate. Never claim a certification, audit, or attestation we have not earned, and never imply we are "compliant" with a law as a property of the software. Controls are facts we can defend; certifications and "compliance" are formal statuses we do not yet hold. Getting this wrong is a legal and reputational risk, not just a wording preference.</w:t>
      </w:r>
    </w:p>
    <w:p>
      <w:pPr>
        <w:spacing w:before="280" w:after="120"/>
      </w:pPr>
      <w:r>
        <w:rPr>
          <w:b/>
          <w:color w:val="1F3355"/>
          <w:sz w:val="30"/>
        </w:rPr>
        <w:t>1. Available today — safe to publish</w:t>
      </w:r>
    </w:p>
    <w:p>
      <w:pPr>
        <w:spacing w:after="120"/>
      </w:pPr>
      <w:r>
        <w:rPr>
          <w:b w:val="0"/>
          <w:i/>
          <w:color w:val="555555"/>
          <w:sz w:val="19"/>
        </w:rPr>
        <w:t>These controls are built into the product now. Suggested public wording is in the right-hand column — plain, factual, no over-claiming.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Control (internal)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Wording you can publish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Password security</w:t>
            </w:r>
          </w:p>
        </w:tc>
        <w:tc>
          <w:tcPr>
            <w:tcW w:type="dxa" w:w="2880"/>
          </w:tcPr>
          <w:p>
            <w:r>
              <w:rPr>
                <w:b/>
                <w:color w:val="1E7D32"/>
              </w:rPr>
              <w:t>LIVE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Credentials are hashed with bcrypt (industry-standard, work factor 12) — never stored in plain text.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Session protection</w:t>
            </w:r>
          </w:p>
        </w:tc>
        <w:tc>
          <w:tcPr>
            <w:tcW w:type="dxa" w:w="2880"/>
          </w:tcPr>
          <w:p>
            <w:r>
              <w:rPr>
                <w:b/>
                <w:color w:val="1E7D32"/>
              </w:rPr>
              <w:t>LIVE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Session tokens are hashed at rest with configurable expiry and server-side revocation.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Role-based access control</w:t>
            </w:r>
          </w:p>
        </w:tc>
        <w:tc>
          <w:tcPr>
            <w:tcW w:type="dxa" w:w="2880"/>
          </w:tcPr>
          <w:p>
            <w:r>
              <w:rPr>
                <w:b/>
                <w:color w:val="1E7D32"/>
              </w:rPr>
              <w:t>LIVE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Granular role-based access control across every module, enforced on every request.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Tamper-evident audit log</w:t>
            </w:r>
          </w:p>
        </w:tc>
        <w:tc>
          <w:tcPr>
            <w:tcW w:type="dxa" w:w="2880"/>
          </w:tcPr>
          <w:p>
            <w:r>
              <w:rPr>
                <w:b/>
                <w:color w:val="1E7D32"/>
              </w:rPr>
              <w:t>LIVE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 tamper-evident audit trail (cryptographic hash chain) records changes and can be verified for integrity.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Rate limiting / abuse protection</w:t>
            </w:r>
          </w:p>
        </w:tc>
        <w:tc>
          <w:tcPr>
            <w:tcW w:type="dxa" w:w="2880"/>
          </w:tcPr>
          <w:p>
            <w:r>
              <w:rPr>
                <w:b/>
                <w:color w:val="1E7D32"/>
              </w:rPr>
              <w:t>LIVE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Brute-force and abuse protection with request rate limiting on authentication and APIs.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Input validation</w:t>
            </w:r>
          </w:p>
        </w:tc>
        <w:tc>
          <w:tcPr>
            <w:tcW w:type="dxa" w:w="2880"/>
          </w:tcPr>
          <w:p>
            <w:r>
              <w:rPr>
                <w:b/>
                <w:color w:val="1E7D32"/>
              </w:rPr>
              <w:t>LIVE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Strict input validation on all requests; database access is fully parameterised (no string-built SQL).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Encrypted secrets</w:t>
            </w:r>
          </w:p>
        </w:tc>
        <w:tc>
          <w:tcPr>
            <w:tcW w:type="dxa" w:w="2880"/>
          </w:tcPr>
          <w:p>
            <w:r>
              <w:rPr>
                <w:b/>
                <w:color w:val="1E7D32"/>
              </w:rPr>
              <w:t>LIVE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Third-party integration credentials are encrypted (AES-256) before storage.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Multi-tenant isolation</w:t>
            </w:r>
          </w:p>
        </w:tc>
        <w:tc>
          <w:tcPr>
            <w:tcW w:type="dxa" w:w="2880"/>
          </w:tcPr>
          <w:p>
            <w:r>
              <w:rPr>
                <w:b/>
                <w:color w:val="1E7D32"/>
              </w:rPr>
              <w:t>LIVE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Every customer's data is isolated per organisation and scoped on every query.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Security headers &amp; CORS</w:t>
            </w:r>
          </w:p>
        </w:tc>
        <w:tc>
          <w:tcPr>
            <w:tcW w:type="dxa" w:w="2880"/>
          </w:tcPr>
          <w:p>
            <w:r>
              <w:rPr>
                <w:b/>
                <w:color w:val="1E7D32"/>
              </w:rPr>
              <w:t>LIVE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Hardened HTTP security headers and strict cross-origin controls.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Step-up re-authentication</w:t>
            </w:r>
          </w:p>
        </w:tc>
        <w:tc>
          <w:tcPr>
            <w:tcW w:type="dxa" w:w="2880"/>
          </w:tcPr>
          <w:p>
            <w:r>
              <w:rPr>
                <w:b/>
                <w:color w:val="1E7D32"/>
              </w:rPr>
              <w:t>LIVE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Sensitive actions can require step-up re-authentication for higher-risk roles.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Privacy request tooling (DPDP-aligned)</w:t>
            </w:r>
          </w:p>
        </w:tc>
        <w:tc>
          <w:tcPr>
            <w:tcW w:type="dxa" w:w="2880"/>
          </w:tcPr>
          <w:p>
            <w:r>
              <w:rPr>
                <w:b/>
                <w:color w:val="1E7D32"/>
              </w:rPr>
              <w:t>LIVE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Built-in tooling to manage consent, data-subject requests, and breach records with statutory response tracking.</w:t>
            </w:r>
          </w:p>
        </w:tc>
      </w:tr>
    </w:tbl>
    <w:p/>
    <w:p>
      <w:pPr>
        <w:spacing w:after="120"/>
      </w:pPr>
      <w:r>
        <w:rPr>
          <w:b w:val="0"/>
          <w:i/>
          <w:color w:val="555555"/>
          <w:sz w:val="19"/>
        </w:rPr>
        <w:t>Suggested section headline for the site: "Security built in, not bolted on." Suggested sub-line: "Role-based access, tamper-evident audit logging, encrypted credentials, and abuse protection — on a single, multi-tenant platform."</w:t>
      </w:r>
    </w:p>
    <w:p>
      <w:pPr>
        <w:spacing w:before="280" w:after="120"/>
      </w:pPr>
      <w:r>
        <w:rPr>
          <w:b/>
          <w:color w:val="1F3355"/>
          <w:sz w:val="30"/>
        </w:rPr>
        <w:t>2. On the roadmap — publish only as forward-looking</w:t>
      </w:r>
    </w:p>
    <w:p>
      <w:pPr>
        <w:spacing w:after="120"/>
      </w:pPr>
      <w:r>
        <w:rPr>
          <w:b w:val="0"/>
          <w:i/>
          <w:color w:val="555555"/>
          <w:sz w:val="19"/>
        </w:rPr>
        <w:t>These are partially built or planned. If mentioned at all, they MUST be framed as future/coming — use "on our roadmap", "coming soon", or "in development". Do not present them as available.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If published, say…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Two-factor authentication (TOTP app)</w:t>
            </w:r>
          </w:p>
        </w:tc>
        <w:tc>
          <w:tcPr>
            <w:tcW w:type="dxa" w:w="2880"/>
          </w:tcPr>
          <w:p>
            <w:r>
              <w:rPr>
                <w:b/>
                <w:color w:val="B86E00"/>
              </w:rPr>
              <w:t>PARTIAL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"Two-factor authentication is on our near-term roadmap."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Encryption of personal data fields at rest</w:t>
            </w:r>
          </w:p>
        </w:tc>
        <w:tc>
          <w:tcPr>
            <w:tcW w:type="dxa" w:w="2880"/>
          </w:tcPr>
          <w:p>
            <w:r>
              <w:rPr>
                <w:b/>
                <w:color w:val="B86E00"/>
              </w:rPr>
              <w:t>PARTIAL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"Field-level encryption for sensitive data is in development."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Managed key service (KMS) integration</w:t>
            </w:r>
          </w:p>
        </w:tc>
        <w:tc>
          <w:tcPr>
            <w:tcW w:type="dxa" w:w="2880"/>
          </w:tcPr>
          <w:p>
            <w:r>
              <w:rPr>
                <w:b/>
                <w:color w:val="B86E00"/>
              </w:rPr>
              <w:t>PARTIAL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"Customer-managed encryption keys are planned."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Database row-level security</w:t>
            </w:r>
          </w:p>
        </w:tc>
        <w:tc>
          <w:tcPr>
            <w:tcW w:type="dxa" w:w="2880"/>
          </w:tcPr>
          <w:p>
            <w:r>
              <w:rPr>
                <w:b/>
                <w:color w:val="B86E00"/>
              </w:rPr>
              <w:t>PARTIAL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Internal defence-in-depth — best not mentioned publicly at all yet.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Automated notice delivery (breach / DSR)</w:t>
            </w:r>
          </w:p>
        </w:tc>
        <w:tc>
          <w:tcPr>
            <w:tcW w:type="dxa" w:w="2880"/>
          </w:tcPr>
          <w:p>
            <w:r>
              <w:rPr>
                <w:b/>
                <w:color w:val="B86E00"/>
              </w:rPr>
              <w:t>PARTIAL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Internal — do not describe notifications as automatically delivered yet.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 erasure execution across all modules</w:t>
            </w:r>
          </w:p>
        </w:tc>
        <w:tc>
          <w:tcPr>
            <w:tcW w:type="dxa" w:w="2880"/>
          </w:tcPr>
          <w:p>
            <w:r>
              <w:rPr>
                <w:b/>
                <w:color w:val="B86E00"/>
              </w:rPr>
              <w:t>PARTIAL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Internal — see the DPDP readiness checklist; not a public claim yet.</w:t>
            </w:r>
          </w:p>
        </w:tc>
      </w:tr>
    </w:tbl>
    <w:p>
      <w:pPr>
        <w:spacing w:before="280" w:after="120"/>
      </w:pPr>
      <w:r>
        <w:rPr>
          <w:b/>
          <w:color w:val="1F3355"/>
          <w:sz w:val="30"/>
        </w:rPr>
        <w:t>3. Do NOT publish — until formally earned</w:t>
      </w:r>
    </w:p>
    <w:p>
      <w:pPr>
        <w:spacing w:after="120"/>
      </w:pPr>
      <w:r>
        <w:rPr>
          <w:b w:val="0"/>
          <w:i/>
          <w:color w:val="555555"/>
          <w:sz w:val="19"/>
        </w:rPr>
        <w:t>The following must stay OFF the website until we hold the actual status. Using them prematurely is a misrepresentation.</w:t>
      </w:r>
    </w:p>
    <w:p>
      <w:pPr>
        <w:pStyle w:val="ListBullet"/>
      </w:pPr>
      <w:r>
        <w:rPr>
          <w:b/>
        </w:rPr>
        <w:t>"SOC 2 Type II"</w:t>
      </w:r>
      <w:r>
        <w:t xml:space="preserve"> — we are not audited/attested. Remove entirely until we complete an audit.</w:t>
      </w:r>
    </w:p>
    <w:p>
      <w:pPr>
        <w:pStyle w:val="ListBullet"/>
      </w:pPr>
      <w:r>
        <w:rPr>
          <w:b/>
        </w:rPr>
        <w:t>"ISO 27001 certified"</w:t>
      </w:r>
      <w:r>
        <w:t xml:space="preserve"> — we are not certified. Remove entirely until certified.</w:t>
      </w:r>
    </w:p>
    <w:p>
      <w:pPr>
        <w:pStyle w:val="ListBullet"/>
      </w:pPr>
      <w:r>
        <w:rPr>
          <w:b/>
        </w:rPr>
        <w:t>"DPDP compliant" / "fully compliant"</w:t>
      </w:r>
      <w:r>
        <w:t xml:space="preserve"> — compliance is an organisational status, not a software feature. Say "DPDP-aligned tooling" instead.</w:t>
      </w:r>
    </w:p>
    <w:p>
      <w:pPr>
        <w:pStyle w:val="ListBullet"/>
      </w:pPr>
      <w:r>
        <w:rPr>
          <w:b/>
        </w:rPr>
        <w:t>"End-to-end encrypted" / "encrypted at rest"</w:t>
      </w:r>
      <w:r>
        <w:t xml:space="preserve"> (unqualified) — we do not yet encrypt all personal-data fields at rest. Only claim encryption where it is true (secrets, transport).</w:t>
      </w:r>
    </w:p>
    <w:p>
      <w:pPr>
        <w:pStyle w:val="ListBullet"/>
      </w:pPr>
      <w:r>
        <w:rPr>
          <w:b/>
        </w:rPr>
        <w:t>"Bank-grade" / "military-grade" / "pen-tested"</w:t>
      </w:r>
      <w:r>
        <w:t xml:space="preserve"> — no penetration test or bug-bounty is in place to reference.</w:t>
      </w:r>
    </w:p>
    <w:p>
      <w:pPr>
        <w:spacing w:before="280" w:after="120"/>
      </w:pPr>
      <w:r>
        <w:rPr>
          <w:b/>
          <w:color w:val="1F3355"/>
          <w:sz w:val="30"/>
        </w:rPr>
        <w:t>4. Ready-to-paste safe phrases</w:t>
      </w:r>
    </w:p>
    <w:p>
      <w:pPr>
        <w:pStyle w:val="ListBullet"/>
      </w:pPr>
      <w:r>
        <w:t>"Security is designed into CoheronConnect from the ground up."</w:t>
      </w:r>
    </w:p>
    <w:p>
      <w:pPr>
        <w:pStyle w:val="ListBullet"/>
      </w:pPr>
      <w:r>
        <w:t>"Role-based access control governs who can see and do what, on every request."</w:t>
      </w:r>
    </w:p>
    <w:p>
      <w:pPr>
        <w:pStyle w:val="ListBullet"/>
      </w:pPr>
      <w:r>
        <w:t>"A tamper-evident audit trail records activity for accountability and integrity checks."</w:t>
      </w:r>
    </w:p>
    <w:p>
      <w:pPr>
        <w:pStyle w:val="ListBullet"/>
      </w:pPr>
      <w:r>
        <w:t>"Credentials are hashed with industry-standard algorithms and never stored in plain text."</w:t>
      </w:r>
    </w:p>
    <w:p>
      <w:pPr>
        <w:pStyle w:val="ListBullet"/>
      </w:pPr>
      <w:r>
        <w:t>"Built-in privacy tooling helps you manage consent and respond to data-subject requests, with statutory response tracking — designed to support your DPDP obligations."</w:t>
      </w:r>
    </w:p>
    <w:p>
      <w:pPr>
        <w:pStyle w:val="ListBullet"/>
      </w:pPr>
      <w:r>
        <w:t>"We are actively investing in our security roadmap, including two-factor authentication and field-level encryption."</w:t>
      </w:r>
    </w:p>
    <w:p/>
    <w:p>
      <w:pPr>
        <w:spacing w:after="120"/>
      </w:pPr>
      <w:r>
        <w:rPr>
          <w:b w:val="0"/>
          <w:i/>
          <w:color w:val="555555"/>
          <w:sz w:val="18"/>
        </w:rPr>
        <w:t>Note: This brief lists controls, not legal advice. Any compliance or certification language on the public site should be reviewed by counsel before publishing. A companion "DPDP Readiness Checklist" tracks the legal/organisational items that sit outside the software.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