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355"/>
          <w:sz w:val="52"/>
        </w:rPr>
        <w:t>CoheronConnect</w:t>
      </w:r>
    </w:p>
    <w:p>
      <w:r>
        <w:rPr>
          <w:color w:val="2B6CB0"/>
          <w:sz w:val="28"/>
        </w:rPr>
        <w:t>US Market Pricing Strategy</w:t>
      </w:r>
    </w:p>
    <w:p>
      <w:r>
        <w:rPr>
          <w:i/>
          <w:color w:val="555555"/>
          <w:sz w:val="19"/>
        </w:rPr>
        <w:t>Version 2.0  •  13 July 2026  •  Internal — Confidential</w:t>
      </w:r>
    </w:p>
    <w:p/>
    <w:p>
      <w:pPr>
        <w:spacing w:before="280" w:after="120"/>
      </w:pPr>
      <w:r>
        <w:rPr>
          <w:b/>
          <w:color w:val="1F3355"/>
          <w:sz w:val="28"/>
        </w:rPr>
        <w:t>The governing principle: two independent price books</w:t>
      </w:r>
    </w:p>
    <w:p>
      <w:pPr>
        <w:spacing w:after="120"/>
      </w:pPr>
      <w:r>
        <w:rPr>
          <w:b w:val="0"/>
          <w:i w:val="0"/>
          <w:sz w:val="22"/>
        </w:rPr>
        <w:t>Neither price book derives from the other. Each is anchored to what that market's buyer already pays. The US book is set against the fragmented US SMB stack (helpdesk + project management + database/ops tools + tail apps, typically $1,700-3,700/month all-in). The India book stays anchored to its own local reference spend. Same tiers, same names, same packaging — only the numbers differ. This is not a discount or a premium; it is two independent anchors.</w:t>
      </w:r>
    </w:p>
    <w:p>
      <w:pPr>
        <w:spacing w:before="280" w:after="120"/>
      </w:pPr>
      <w:r>
        <w:rPr>
          <w:b/>
          <w:color w:val="1F3355"/>
          <w:sz w:val="30"/>
        </w:rPr>
        <w:t>1. The US Pricing Model</w:t>
      </w:r>
    </w:p>
    <w:p>
      <w:pPr>
        <w:spacing w:after="120"/>
      </w:pPr>
      <w:r>
        <w:rPr>
          <w:b w:val="0"/>
          <w:i w:val="0"/>
          <w:sz w:val="22"/>
        </w:rPr>
        <w:t>Flat platform pricing per tier — not per-seat. Every competitor in the US reference basket charges per seat, and per-seat fatigue is a documented pain point for growing US businesses: costs scale linearly with every hire. “Flat price, whole company on the platform” is therefore a differentiator in its own right, not just a pricing choice, and it reinforces the operating-system positioning. Every tier includes the full platform; price scales by company stage and size, never by module.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Tier</w:t>
            </w:r>
          </w:p>
        </w:tc>
        <w:tc>
          <w:tcPr>
            <w:tcW w:type="dxa" w:w="1728"/>
          </w:tcPr>
          <w:p>
            <w:r>
              <w:rPr>
                <w:b/>
                <w:sz w:val="20"/>
              </w:rPr>
              <w:t>Size band</w:t>
            </w:r>
          </w:p>
        </w:tc>
        <w:tc>
          <w:tcPr>
            <w:tcW w:type="dxa" w:w="1728"/>
          </w:tcPr>
          <w:p>
            <w:r>
              <w:rPr>
                <w:b/>
                <w:sz w:val="20"/>
              </w:rPr>
              <w:t>Flat price (per org)</w:t>
            </w:r>
          </w:p>
        </w:tc>
        <w:tc>
          <w:tcPr>
            <w:tcW w:type="dxa" w:w="1728"/>
          </w:tcPr>
          <w:p>
            <w:r>
              <w:rPr>
                <w:b/>
                <w:sz w:val="20"/>
              </w:rPr>
              <w:t>Implied /seat at band top</w:t>
            </w:r>
          </w:p>
        </w:tc>
        <w:tc>
          <w:tcPr>
            <w:tcW w:type="dxa" w:w="1728"/>
          </w:tcPr>
          <w:p>
            <w:r>
              <w:rPr>
                <w:b/>
                <w:sz w:val="20"/>
              </w:rPr>
              <w:t>Billing</w:t>
            </w:r>
          </w:p>
        </w:tc>
      </w:tr>
      <w:tr>
        <w:tc>
          <w:tcPr>
            <w:tcW w:type="dxa" w:w="1728"/>
          </w:tcPr>
          <w:p>
            <w:r>
              <w:rPr>
                <w:sz w:val="19"/>
              </w:rPr>
              <w:t>Start</w:t>
            </w:r>
          </w:p>
        </w:tc>
        <w:tc>
          <w:tcPr>
            <w:tcW w:type="dxa" w:w="1728"/>
          </w:tcPr>
          <w:p>
            <w:r>
              <w:rPr>
                <w:sz w:val="19"/>
              </w:rPr>
              <w:t>0-10 emp</w:t>
            </w:r>
          </w:p>
        </w:tc>
        <w:tc>
          <w:tcPr>
            <w:tcW w:type="dxa" w:w="1728"/>
          </w:tcPr>
          <w:p>
            <w:r>
              <w:rPr>
                <w:sz w:val="19"/>
              </w:rPr>
              <w:t>App free; $99/mo platform fee</w:t>
            </w:r>
          </w:p>
        </w:tc>
        <w:tc>
          <w:tcPr>
            <w:tcW w:type="dxa" w:w="1728"/>
          </w:tcPr>
          <w:p>
            <w:r>
              <w:rPr>
                <w:sz w:val="19"/>
              </w:rPr>
              <w:t>~$99</w:t>
            </w:r>
          </w:p>
        </w:tc>
        <w:tc>
          <w:tcPr>
            <w:tcW w:type="dxa" w:w="1728"/>
          </w:tcPr>
          <w:p>
            <w:r>
              <w:rPr>
                <w:sz w:val="19"/>
              </w:rPr>
              <w:t>Monthly</w:t>
            </w:r>
          </w:p>
        </w:tc>
      </w:tr>
      <w:tr>
        <w:tc>
          <w:tcPr>
            <w:tcW w:type="dxa" w:w="1728"/>
          </w:tcPr>
          <w:p>
            <w:r>
              <w:rPr>
                <w:sz w:val="19"/>
              </w:rPr>
              <w:t>Launch</w:t>
            </w:r>
          </w:p>
        </w:tc>
        <w:tc>
          <w:tcPr>
            <w:tcW w:type="dxa" w:w="1728"/>
          </w:tcPr>
          <w:p>
            <w:r>
              <w:rPr>
                <w:sz w:val="19"/>
              </w:rPr>
              <w:t>10-40 emp</w:t>
            </w:r>
          </w:p>
        </w:tc>
        <w:tc>
          <w:tcPr>
            <w:tcW w:type="dxa" w:w="1728"/>
          </w:tcPr>
          <w:p>
            <w:r>
              <w:rPr>
                <w:sz w:val="19"/>
              </w:rPr>
              <w:t>$1,600/mo flat</w:t>
            </w:r>
          </w:p>
        </w:tc>
        <w:tc>
          <w:tcPr>
            <w:tcW w:type="dxa" w:w="1728"/>
          </w:tcPr>
          <w:p>
            <w:r>
              <w:rPr>
                <w:sz w:val="19"/>
              </w:rPr>
              <w:t>~$40</w:t>
            </w:r>
          </w:p>
        </w:tc>
        <w:tc>
          <w:tcPr>
            <w:tcW w:type="dxa" w:w="1728"/>
          </w:tcPr>
          <w:p>
            <w:r>
              <w:rPr>
                <w:sz w:val="19"/>
              </w:rPr>
              <w:t>Annual default</w:t>
            </w:r>
          </w:p>
        </w:tc>
      </w:tr>
      <w:tr>
        <w:tc>
          <w:tcPr>
            <w:tcW w:type="dxa" w:w="1728"/>
          </w:tcPr>
          <w:p>
            <w:r>
              <w:rPr>
                <w:sz w:val="19"/>
              </w:rPr>
              <w:t>Grow</w:t>
            </w:r>
          </w:p>
        </w:tc>
        <w:tc>
          <w:tcPr>
            <w:tcW w:type="dxa" w:w="1728"/>
          </w:tcPr>
          <w:p>
            <w:r>
              <w:rPr>
                <w:sz w:val="19"/>
              </w:rPr>
              <w:t>40-75 emp</w:t>
            </w:r>
          </w:p>
        </w:tc>
        <w:tc>
          <w:tcPr>
            <w:tcW w:type="dxa" w:w="1728"/>
          </w:tcPr>
          <w:p>
            <w:r>
              <w:rPr>
                <w:sz w:val="19"/>
              </w:rPr>
              <w:t>$2,499/mo flat</w:t>
            </w:r>
          </w:p>
        </w:tc>
        <w:tc>
          <w:tcPr>
            <w:tcW w:type="dxa" w:w="1728"/>
          </w:tcPr>
          <w:p>
            <w:r>
              <w:rPr>
                <w:sz w:val="19"/>
              </w:rPr>
              <w:t>~$33</w:t>
            </w:r>
          </w:p>
        </w:tc>
        <w:tc>
          <w:tcPr>
            <w:tcW w:type="dxa" w:w="1728"/>
          </w:tcPr>
          <w:p>
            <w:r>
              <w:rPr>
                <w:sz w:val="19"/>
              </w:rPr>
              <w:t>Annual default</w:t>
            </w:r>
          </w:p>
        </w:tc>
      </w:tr>
      <w:tr>
        <w:tc>
          <w:tcPr>
            <w:tcW w:type="dxa" w:w="1728"/>
          </w:tcPr>
          <w:p>
            <w:r>
              <w:rPr>
                <w:sz w:val="19"/>
              </w:rPr>
              <w:t>Scale</w:t>
            </w:r>
          </w:p>
        </w:tc>
        <w:tc>
          <w:tcPr>
            <w:tcW w:type="dxa" w:w="1728"/>
          </w:tcPr>
          <w:p>
            <w:r>
              <w:rPr>
                <w:sz w:val="19"/>
              </w:rPr>
              <w:t>75-250 emp</w:t>
            </w:r>
          </w:p>
        </w:tc>
        <w:tc>
          <w:tcPr>
            <w:tcW w:type="dxa" w:w="1728"/>
          </w:tcPr>
          <w:p>
            <w:r>
              <w:rPr>
                <w:sz w:val="19"/>
              </w:rPr>
              <w:t>$7,000/mo flat</w:t>
            </w:r>
          </w:p>
        </w:tc>
        <w:tc>
          <w:tcPr>
            <w:tcW w:type="dxa" w:w="1728"/>
          </w:tcPr>
          <w:p>
            <w:r>
              <w:rPr>
                <w:sz w:val="19"/>
              </w:rPr>
              <w:t>~$28</w:t>
            </w:r>
          </w:p>
        </w:tc>
        <w:tc>
          <w:tcPr>
            <w:tcW w:type="dxa" w:w="1728"/>
          </w:tcPr>
          <w:p>
            <w:r>
              <w:rPr>
                <w:sz w:val="19"/>
              </w:rPr>
              <w:t>Annual contract</w:t>
            </w:r>
          </w:p>
        </w:tc>
      </w:tr>
      <w:tr>
        <w:tc>
          <w:tcPr>
            <w:tcW w:type="dxa" w:w="1728"/>
          </w:tcPr>
          <w:p>
            <w:r>
              <w:rPr>
                <w:sz w:val="19"/>
              </w:rPr>
              <w:t>Scale (Custom)</w:t>
            </w:r>
          </w:p>
        </w:tc>
        <w:tc>
          <w:tcPr>
            <w:tcW w:type="dxa" w:w="1728"/>
          </w:tcPr>
          <w:p>
            <w:r>
              <w:rPr>
                <w:sz w:val="19"/>
              </w:rPr>
              <w:t>250+ emp</w:t>
            </w:r>
          </w:p>
        </w:tc>
        <w:tc>
          <w:tcPr>
            <w:tcW w:type="dxa" w:w="1728"/>
          </w:tcPr>
          <w:p>
            <w:r>
              <w:rPr>
                <w:sz w:val="19"/>
              </w:rPr>
              <w:t>Custom quote</w:t>
            </w:r>
          </w:p>
        </w:tc>
        <w:tc>
          <w:tcPr>
            <w:tcW w:type="dxa" w:w="1728"/>
          </w:tcPr>
          <w:p>
            <w:r>
              <w:rPr>
                <w:sz w:val="19"/>
              </w:rPr>
              <w:t>~$24</w:t>
            </w:r>
          </w:p>
        </w:tc>
        <w:tc>
          <w:tcPr>
            <w:tcW w:type="dxa" w:w="1728"/>
          </w:tcPr>
          <w:p>
            <w:r>
              <w:rPr>
                <w:sz w:val="19"/>
              </w:rPr>
              <w:t>Annual contract</w:t>
            </w:r>
          </w:p>
        </w:tc>
      </w:tr>
    </w:tbl>
    <w:p>
      <w:pPr>
        <w:spacing w:after="120"/>
      </w:pPr>
      <w:r>
        <w:rPr>
          <w:b w:val="0"/>
          <w:i w:val="0"/>
          <w:sz w:val="20"/>
        </w:rPr>
        <w:t>Billing is flat per organisation — a Grow customer pays $2,499 whether they are 55 or 75 people. The “implied per-seat” column is economics, not a billing basis: prices are tuned so implied per-seat cost falls monotonically as companies grow, removing the inversion in the earlier ladder (where the $1,999 Grow list implied a per-seat rate below the Scale floor, penalising a company that grew past 75). A minor flat-band edge effect remains just below each band top; it is not eliminable without per-seat billing, which is deliberately not used.</w:t>
      </w:r>
    </w:p>
    <w:p>
      <w:pPr>
        <w:spacing w:after="120"/>
      </w:pPr>
      <w:r>
        <w:rPr>
          <w:b w:val="0"/>
          <w:i w:val="0"/>
          <w:sz w:val="20"/>
        </w:rPr>
        <w:t>The ladder is 100% tier-matched to the India book (same five bands and thresholds); only the numbers and the local anchor differ. Every tier includes the full platform, priced by stage and size, never by module.</w:t>
      </w:r>
    </w:p>
    <w:p>
      <w:pPr>
        <w:spacing w:after="120"/>
      </w:pPr>
      <w:r>
        <w:rPr>
          <w:b w:val="0"/>
          <w:i w:val="0"/>
          <w:sz w:val="20"/>
        </w:rPr>
        <w:t>Start is free to use — the application carries no licence cost. A flat $99/mo platform fee covers hosting and platform operations; it is a platform fee, not a paid plan, and it is self-serve only. This keeps the entry genuinely product-led while establishing a billing relationship from day one; the need for human support is a natural trigger to move up to Launch or Grow.</w:t>
      </w:r>
    </w:p>
    <w:p>
      <w:pPr>
        <w:spacing w:after="120"/>
      </w:pPr>
      <w:r>
        <w:rPr>
          <w:b w:val="0"/>
          <w:i w:val="0"/>
          <w:sz w:val="20"/>
        </w:rPr>
        <w:t>Each band is anchored to US market reality — the fragmented stack the buyer already pays — then priced at a deliberate ~25-35% discount to that stack. Cheap enough to be an obvious switch, expensive enough to stay credible: a converted-from-abroad price (~$20-25/user) would seem implausibly cheap and invite quality doubts.</w:t>
      </w:r>
    </w:p>
    <w:p>
      <w:pPr>
        <w:spacing w:before="280" w:after="120"/>
      </w:pPr>
      <w:r>
        <w:rPr>
          <w:b/>
          <w:color w:val="1F3355"/>
          <w:sz w:val="30"/>
        </w:rPr>
        <w:t>2. Why These Prices Hold Against the Market</w:t>
      </w:r>
    </w:p>
    <w:p>
      <w:pPr>
        <w:spacing w:after="120"/>
      </w:pPr>
      <w:r>
        <w:rPr>
          <w:b w:val="0"/>
          <w:i w:val="0"/>
          <w:sz w:val="22"/>
        </w:rPr>
        <w:t>The comparison a US buyer actually runs is not against another all-in-one — it is against the stack they already pay for. A typical 20-50 person US company runs a helpdesk, a project tool, a flexible database, plus a tail of smaller subscriptions: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Stack component</w:t>
            </w:r>
          </w:p>
        </w:tc>
        <w:tc>
          <w:tcPr>
            <w:tcW w:type="dxa" w:w="2880"/>
          </w:tcPr>
          <w:p>
            <w:r>
              <w:rPr>
                <w:b/>
                <w:sz w:val="20"/>
              </w:rPr>
              <w:t>Typical US spend /mo</w:t>
            </w:r>
          </w:p>
        </w:tc>
        <w:tc>
          <w:tcPr>
            <w:tcW w:type="dxa" w:w="2880"/>
          </w:tcPr>
          <w:p>
            <w:r>
              <w:rPr>
                <w:b/>
                <w:sz w:val="20"/>
              </w:rPr>
              <w:t>CoheronConnect</w:t>
            </w:r>
          </w:p>
        </w:tc>
      </w:tr>
      <w:tr>
        <w:tc>
          <w:tcPr>
            <w:tcW w:type="dxa" w:w="2880"/>
          </w:tcPr>
          <w:p>
            <w:r>
              <w:rPr>
                <w:sz w:val="19"/>
              </w:rPr>
              <w:t>Helpdesk / support (Zendesk-class)</w:t>
            </w:r>
          </w:p>
        </w:tc>
        <w:tc>
          <w:tcPr>
            <w:tcW w:type="dxa" w:w="2880"/>
          </w:tcPr>
          <w:p>
            <w:r>
              <w:rPr>
                <w:sz w:val="19"/>
              </w:rPr>
              <w:t>$550 - 1,150</w:t>
            </w:r>
          </w:p>
        </w:tc>
        <w:tc>
          <w:tcPr>
            <w:tcW w:type="dxa" w:w="2880"/>
          </w:tcPr>
          <w:p>
            <w:r>
              <w:rPr>
                <w:sz w:val="19"/>
              </w:rPr>
              <w:t>Included</w:t>
            </w:r>
          </w:p>
        </w:tc>
      </w:tr>
      <w:tr>
        <w:tc>
          <w:tcPr>
            <w:tcW w:type="dxa" w:w="2880"/>
          </w:tcPr>
          <w:p>
            <w:r>
              <w:rPr>
                <w:sz w:val="19"/>
              </w:rPr>
              <w:t>Work / project management (Asana-class)</w:t>
            </w:r>
          </w:p>
        </w:tc>
        <w:tc>
          <w:tcPr>
            <w:tcW w:type="dxa" w:w="2880"/>
          </w:tcPr>
          <w:p>
            <w:r>
              <w:rPr>
                <w:sz w:val="19"/>
              </w:rPr>
              <w:t>$300 - 750</w:t>
            </w:r>
          </w:p>
        </w:tc>
        <w:tc>
          <w:tcPr>
            <w:tcW w:type="dxa" w:w="2880"/>
          </w:tcPr>
          <w:p>
            <w:r>
              <w:rPr>
                <w:sz w:val="19"/>
              </w:rPr>
              <w:t>Included</w:t>
            </w:r>
          </w:p>
        </w:tc>
      </w:tr>
      <w:tr>
        <w:tc>
          <w:tcPr>
            <w:tcW w:type="dxa" w:w="2880"/>
          </w:tcPr>
          <w:p>
            <w:r>
              <w:rPr>
                <w:sz w:val="19"/>
              </w:rPr>
              <w:t>Ops database / internal tools (Airtable-class)</w:t>
            </w:r>
          </w:p>
        </w:tc>
        <w:tc>
          <w:tcPr>
            <w:tcW w:type="dxa" w:w="2880"/>
          </w:tcPr>
          <w:p>
            <w:r>
              <w:rPr>
                <w:sz w:val="19"/>
              </w:rPr>
              <w:t>$400 - 900</w:t>
            </w:r>
          </w:p>
        </w:tc>
        <w:tc>
          <w:tcPr>
            <w:tcW w:type="dxa" w:w="2880"/>
          </w:tcPr>
          <w:p>
            <w:r>
              <w:rPr>
                <w:sz w:val="19"/>
              </w:rPr>
              <w:t>Included</w:t>
            </w:r>
          </w:p>
        </w:tc>
      </w:tr>
      <w:tr>
        <w:tc>
          <w:tcPr>
            <w:tcW w:type="dxa" w:w="2880"/>
          </w:tcPr>
          <w:p>
            <w:r>
              <w:rPr>
                <w:sz w:val="19"/>
              </w:rPr>
              <w:t>HR, approvals, misc. tail apps</w:t>
            </w:r>
          </w:p>
        </w:tc>
        <w:tc>
          <w:tcPr>
            <w:tcW w:type="dxa" w:w="2880"/>
          </w:tcPr>
          <w:p>
            <w:r>
              <w:rPr>
                <w:sz w:val="19"/>
              </w:rPr>
              <w:t>$450 - 900</w:t>
            </w:r>
          </w:p>
        </w:tc>
        <w:tc>
          <w:tcPr>
            <w:tcW w:type="dxa" w:w="2880"/>
          </w:tcPr>
          <w:p>
            <w:r>
              <w:rPr>
                <w:sz w:val="19"/>
              </w:rPr>
              <w:t>Included</w:t>
            </w:r>
          </w:p>
        </w:tc>
      </w:tr>
      <w:tr>
        <w:tc>
          <w:tcPr>
            <w:tcW w:type="dxa" w:w="2880"/>
          </w:tcPr>
          <w:p>
            <w:r>
              <w:rPr>
                <w:b/>
                <w:sz w:val="19"/>
              </w:rPr>
              <w:t>Typical stack total</w:t>
            </w:r>
          </w:p>
        </w:tc>
        <w:tc>
          <w:tcPr>
            <w:tcW w:type="dxa" w:w="2880"/>
          </w:tcPr>
          <w:p>
            <w:r>
              <w:rPr>
                <w:b/>
                <w:sz w:val="19"/>
              </w:rPr>
              <w:t>$1,700 - 3,700</w:t>
            </w:r>
          </w:p>
        </w:tc>
        <w:tc>
          <w:tcPr>
            <w:tcW w:type="dxa" w:w="2880"/>
          </w:tcPr>
          <w:p>
            <w:r>
              <w:rPr>
                <w:b/>
                <w:sz w:val="19"/>
              </w:rPr>
              <w:t>$2,499 (Grow) flat</w:t>
            </w:r>
          </w:p>
        </w:tc>
      </w:tr>
    </w:tbl>
    <w:p>
      <w:pPr>
        <w:spacing w:after="120"/>
      </w:pPr>
      <w:r>
        <w:rPr>
          <w:b w:val="0"/>
          <w:i w:val="0"/>
          <w:sz w:val="22"/>
        </w:rPr>
        <w:t>At $2,499 flat, Grow sits at the low-middle of the stack it replaces — an easy switch on cost alone, while still credible. Every band is set ~25-35% below the equivalent stack spend at that size, so the discount is real but never implausible. A converted-from-abroad price (~$20-25/user) would position the product implausibly cheap for a US buyer and invite quality doubts; underpricing damages credibility as much as overpricing.</w:t>
      </w:r>
    </w:p>
    <w:p>
      <w:pPr>
        <w:spacing w:before="280" w:after="120"/>
      </w:pPr>
      <w:r>
        <w:rPr>
          <w:b/>
          <w:color w:val="1F3355"/>
          <w:sz w:val="30"/>
        </w:rPr>
        <w:t>3. Price-Book Hygiene</w:t>
      </w:r>
    </w:p>
    <w:p>
      <w:pPr>
        <w:spacing w:after="120"/>
      </w:pPr>
      <w:r>
        <w:rPr>
          <w:b w:val="0"/>
          <w:i w:val="0"/>
          <w:sz w:val="20"/>
        </w:rPr>
        <w:t>Geo-separated pricing pages. The USD page is never one click from the local page. US visitors see US pricing only. The cross-market comparison is never volunteered — internally understood, externally invisible.</w:t>
      </w:r>
    </w:p>
    <w:p>
      <w:pPr>
        <w:spacing w:after="120"/>
      </w:pPr>
      <w:r>
        <w:rPr>
          <w:b w:val="0"/>
          <w:i w:val="0"/>
          <w:sz w:val="20"/>
        </w:rPr>
        <w:t>Annual-first billing. Annual is the default presentation in the US with a 15-20% incentive versus monthly. This matches US SMB buying norms and stabilises early revenue.</w:t>
      </w:r>
    </w:p>
    <w:p>
      <w:pPr>
        <w:spacing w:after="120"/>
      </w:pPr>
      <w:r>
        <w:rPr>
          <w:b w:val="0"/>
          <w:i w:val="0"/>
          <w:sz w:val="20"/>
        </w:rPr>
        <w:t>Negotiation posture. List is list. Sales can concede 15-25% on annual commitments without approval; anything deeper is founder-approved and exchanged for term length, case-study rights, or reference calls — never given away unpriced.</w:t>
      </w:r>
    </w:p>
    <w:p>
      <w:pPr>
        <w:spacing w:after="120"/>
      </w:pPr>
      <w:r>
        <w:rPr>
          <w:b w:val="0"/>
          <w:i w:val="0"/>
          <w:sz w:val="20"/>
        </w:rPr>
        <w:t>Cross-border edge case. An Indian company with US operations buys on the book of the entity that signs the contract and receives the invoice. The US subsidiary contracts on US paper at US pricing.</w:t>
      </w:r>
    </w:p>
    <w:p>
      <w:pPr>
        <w:spacing w:before="280" w:after="120"/>
      </w:pPr>
      <w:r>
        <w:rPr>
          <w:b/>
          <w:color w:val="1F3355"/>
          <w:sz w:val="30"/>
        </w:rPr>
        <w:t>4. Design-Partner (Pilot) Terms</w:t>
      </w:r>
    </w:p>
    <w:p>
      <w:pPr>
        <w:spacing w:after="120"/>
      </w:pPr>
      <w:r>
        <w:rPr>
          <w:b w:val="0"/>
          <w:i w:val="0"/>
          <w:sz w:val="22"/>
        </w:rPr>
        <w:t>The current US prospect should be priced off the $2,499 Grow list, not around it — the discount must be framed so it protects the anchor rather than eroding it: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Element</w:t>
            </w:r>
          </w:p>
        </w:tc>
        <w:tc>
          <w:tcPr>
            <w:tcW w:type="dxa" w:w="4320"/>
          </w:tcPr>
          <w:p>
            <w:r>
              <w:rPr>
                <w:b/>
                <w:sz w:val="20"/>
              </w:rPr>
              <w:t>Recommendation</w:t>
            </w:r>
          </w:p>
        </w:tc>
      </w:tr>
      <w:tr>
        <w:tc>
          <w:tcPr>
            <w:tcW w:type="dxa" w:w="4320"/>
          </w:tcPr>
          <w:p>
            <w:r>
              <w:rPr>
                <w:sz w:val="19"/>
              </w:rPr>
              <w:t>Frame</w:t>
            </w:r>
          </w:p>
        </w:tc>
        <w:tc>
          <w:tcPr>
            <w:tcW w:type="dxa" w:w="4320"/>
          </w:tcPr>
          <w:p>
            <w:r>
              <w:rPr>
                <w:sz w:val="19"/>
              </w:rPr>
              <w:t>“Founding design partner” — a named program, not a discount.</w:t>
            </w:r>
          </w:p>
        </w:tc>
      </w:tr>
      <w:tr>
        <w:tc>
          <w:tcPr>
            <w:tcW w:type="dxa" w:w="4320"/>
          </w:tcPr>
          <w:p>
            <w:r>
              <w:rPr>
                <w:sz w:val="19"/>
              </w:rPr>
              <w:t>Price</w:t>
            </w:r>
          </w:p>
        </w:tc>
        <w:tc>
          <w:tcPr>
            <w:tcW w:type="dxa" w:w="4320"/>
          </w:tcPr>
          <w:p>
            <w:r>
              <w:rPr>
                <w:sz w:val="19"/>
              </w:rPr>
              <w:t>$1,499/mo (~40% off the $2,499 Grow list) on a 12-month agreement; list price stated on the order form with the program credit shown against it. The all-modules-on decision puts payroll in scope, supporting the higher figure.</w:t>
            </w:r>
          </w:p>
        </w:tc>
      </w:tr>
      <w:tr>
        <w:tc>
          <w:tcPr>
            <w:tcW w:type="dxa" w:w="4320"/>
          </w:tcPr>
          <w:p>
            <w:r>
              <w:rPr>
                <w:sz w:val="19"/>
              </w:rPr>
              <w:t>Exchange</w:t>
            </w:r>
          </w:p>
        </w:tc>
        <w:tc>
          <w:tcPr>
            <w:tcW w:type="dxa" w:w="4320"/>
          </w:tcPr>
          <w:p>
            <w:r>
              <w:rPr>
                <w:sz w:val="19"/>
              </w:rPr>
              <w:t>Weekly feedback sessions, US case study + logo rights, 2 reference calls, input on the US roadmap.</w:t>
            </w:r>
          </w:p>
        </w:tc>
      </w:tr>
      <w:tr>
        <w:tc>
          <w:tcPr>
            <w:tcW w:type="dxa" w:w="4320"/>
          </w:tcPr>
          <w:p>
            <w:r>
              <w:rPr>
                <w:sz w:val="19"/>
              </w:rPr>
              <w:t>Expiry</w:t>
            </w:r>
          </w:p>
        </w:tc>
        <w:tc>
          <w:tcPr>
            <w:tcW w:type="dxa" w:w="4320"/>
          </w:tcPr>
          <w:p>
            <w:r>
              <w:rPr>
                <w:sz w:val="19"/>
              </w:rPr>
              <w:t>Program pricing holds 24 months, then steps to then-current list minus a loyalty tier — stated in the agreement so there is no renewal shock.</w:t>
            </w:r>
          </w:p>
        </w:tc>
      </w:tr>
      <w:tr>
        <w:tc>
          <w:tcPr>
            <w:tcW w:type="dxa" w:w="4320"/>
          </w:tcPr>
          <w:p>
            <w:r>
              <w:rPr>
                <w:sz w:val="19"/>
              </w:rPr>
              <w:t>Scarcity</w:t>
            </w:r>
          </w:p>
        </w:tc>
        <w:tc>
          <w:tcPr>
            <w:tcW w:type="dxa" w:w="4320"/>
          </w:tcPr>
          <w:p>
            <w:r>
              <w:rPr>
                <w:sz w:val="19"/>
              </w:rPr>
              <w:t>Capped at 3-5 US design partners. Scarcity is what keeps a 40% concession from becoming the street price.</w:t>
            </w:r>
          </w:p>
        </w:tc>
      </w:tr>
    </w:tbl>
    <w:p>
      <w:pPr>
        <w:spacing w:before="280" w:after="120"/>
      </w:pPr>
      <w:r>
        <w:rPr>
          <w:b/>
          <w:color w:val="1F3355"/>
          <w:sz w:val="30"/>
        </w:rPr>
        <w:t>5. Open Items</w:t>
      </w:r>
    </w:p>
    <w:p>
      <w:pPr>
        <w:spacing w:after="40"/>
      </w:pPr>
      <w:r>
        <w:rPr>
          <w:b w:val="0"/>
          <w:i w:val="0"/>
          <w:sz w:val="20"/>
        </w:rPr>
        <w:t>1. Build the US pricing page: five columns (Start / Launch / Grow / Scale / Custom), stage + size descriptions, and a “replace your stack” comparison strip.</w:t>
      </w:r>
    </w:p>
    <w:p>
      <w:pPr>
        <w:spacing w:after="40"/>
      </w:pPr>
      <w:r>
        <w:rPr>
          <w:b w:val="0"/>
          <w:i w:val="0"/>
          <w:sz w:val="20"/>
        </w:rPr>
        <w:t>2. Validate the stack-basket figures against the pilot client's actual current spend during discovery — their real invoice total is the best sales asset available.</w:t>
      </w:r>
    </w:p>
    <w:p>
      <w:pPr>
        <w:spacing w:after="40"/>
      </w:pPr>
      <w:r>
        <w:rPr>
          <w:b w:val="0"/>
          <w:i w:val="0"/>
          <w:sz w:val="20"/>
        </w:rPr>
        <w:t>3. Confirm the Start platform-fee mechanics (what the $99/mo covers, and the free-app usage limits that trigger a move to Launch).</w:t>
      </w:r>
    </w:p>
    <w:p>
      <w:pPr>
        <w:spacing w:after="120"/>
      </w:pPr>
      <w:r>
        <w:rPr>
          <w:b w:val="0"/>
          <w:i w:val="0"/>
          <w:sz w:val="20"/>
        </w:rPr>
        <w:t>4. Lock the exact band thresholds in billing (10 / 40 / 75 / 250 employees are the working defaults) and confirm the ~25-35% discount-to-stack band applied at each tier.</w:t>
      </w:r>
    </w:p>
    <w:p>
      <w:pPr>
        <w:spacing w:before="280" w:after="120"/>
      </w:pPr>
      <w:r>
        <w:rPr>
          <w:b/>
          <w:color w:val="1E7D32"/>
          <w:sz w:val="30"/>
        </w:rPr>
        <w:t>Bottom line</w:t>
      </w:r>
    </w:p>
    <w:p>
      <w:pPr>
        <w:spacing w:after="120"/>
      </w:pPr>
      <w:r>
        <w:rPr>
          <w:b w:val="0"/>
          <w:i/>
          <w:color w:val="555555"/>
          <w:sz w:val="20"/>
        </w:rPr>
        <w:t>US list (flat per-org, whole platform included, 100% tier-matched to India, tuned so implied per-seat falls monotonically): Start — app free + $99/mo platform fee, self-serve; Launch $1,600 (10-40 emp); Grow $2,499 (40-75 emp); Scale $7,000 (75-250); Custom above 250; annual default. Each band is anchored to US market reality and priced ~25-35% below the stack it replaces. Priced by stage and size, never by module. The India book is untouched and never cross-referenced. The pilot client lands as a founding design partner at $1,499/mo (payroll in scope), with the discount explicitly purchased through feedback, references, and a case study. All figures are working numbers pending validation against real prospect spend.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