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4A235A"/>
          <w:sz w:val="56"/>
          <w:szCs w:val="56"/>
        </w:rPr>
        <w:t xml:space="preserve">PROJECT OUROBOROS</w:t>
      </w:r>
    </w:p>
    <w:p>
      <w:pPr>
        <w:spacing w:after="100"/>
        <w:jc w:val="center"/>
      </w:pPr>
      <w:r>
        <w:rPr>
          <w:rFonts w:ascii="Arial" w:cs="Arial" w:eastAsia="Arial" w:hAnsi="Arial"/>
          <w:color w:val="555555"/>
          <w:sz w:val="32"/>
          <w:szCs w:val="32"/>
        </w:rPr>
        <w:t xml:space="preserve">Zero-Cost Validation Pipeline for Project Chimera</w:t>
      </w:r>
    </w:p>
    <w:p>
      <w:pPr>
        <w:spacing w:after="80"/>
        <w:jc w:val="center"/>
      </w:pPr>
      <w:r>
        <w:rPr>
          <w:rFonts w:ascii="Arial" w:cs="Arial" w:eastAsia="Arial" w:hAnsi="Arial"/>
          <w:color w:val="777777"/>
          <w:sz w:val="26"/>
          <w:szCs w:val="26"/>
        </w:rPr>
        <w:t xml:space="preserve">Prove Every Novel Concept Before Spending a Dollar</w:t>
      </w:r>
    </w:p>
    <w:p>
      <w:pPr>
        <w:spacing w:after="400"/>
        <w:jc w:val="center"/>
      </w:pPr>
      <w:r>
        <w:rPr>
          <w:rFonts w:ascii="Arial" w:cs="Arial" w:eastAsia="Arial" w:hAnsi="Arial"/>
          <w:color w:val="777777"/>
          <w:sz w:val="24"/>
          <w:szCs w:val="24"/>
        </w:rPr>
        <w:t xml:space="preserve">Mamba Conversion | Distillation | d_state Gradient | β Validation | GGUF Export</w:t>
      </w:r>
    </w:p>
    <w:p>
      <w:pPr>
        <w:pBdr>
          <w:top w:val="single" w:color="4A235A" w:sz="2" w:space="8"/>
        </w:pBdr>
        <w:spacing w:after="60"/>
        <w:jc w:val="center"/>
      </w:pPr>
      <w:r>
        <w:rPr>
          <w:rFonts w:ascii="Arial" w:cs="Arial" w:eastAsia="Arial" w:hAnsi="Arial"/>
          <w:b/>
          <w:bCs/>
          <w:color w:val="4A235A"/>
          <w:sz w:val="28"/>
          <w:szCs w:val="28"/>
        </w:rPr>
        <w:t xml:space="preserve">Five Steps, Five Days, Zero Dollars</w:t>
      </w:r>
    </w:p>
    <w:p>
      <w:pPr>
        <w:spacing w:after="60"/>
        <w:jc w:val="center"/>
      </w:pPr>
      <w:r>
        <w:rPr>
          <w:rFonts w:ascii="Arial" w:cs="Arial" w:eastAsia="Arial" w:hAnsi="Arial"/>
          <w:color w:val="777777"/>
          <w:sz w:val="22"/>
          <w:szCs w:val="22"/>
        </w:rPr>
        <w:t xml:space="preserve">Version 1.0 — March 2026</w:t>
      </w:r>
    </w:p>
    <w:p>
      <w:pPr>
        <w:spacing w:after="60"/>
        <w:jc w:val="center"/>
      </w:pPr>
      <w:r>
        <w:rPr>
          <w:rFonts w:ascii="Arial" w:cs="Arial" w:eastAsia="Arial" w:hAnsi="Arial"/>
          <w:color w:val="777777"/>
          <w:sz w:val="22"/>
          <w:szCs w:val="22"/>
        </w:rPr>
        <w:t xml:space="preserve">Hardware: Laptop CPU + Google Colab Free Tier (T4 16GB)</w:t>
      </w:r>
    </w:p>
    <w:p>
      <w:pPr>
        <w:jc w:val="center"/>
      </w:pPr>
      <w:r>
        <w:rPr>
          <w:rFonts w:ascii="Arial" w:cs="Arial" w:eastAsia="Arial" w:hAnsi="Arial"/>
          <w:color w:val="777777"/>
          <w:sz w:val="22"/>
          <w:szCs w:val="22"/>
        </w:rPr>
        <w:t xml:space="preserve">Gate for Project Chimera: $1,150–$2,298 Decision Based on Empirical Evidence</w:t>
      </w:r>
    </w:p>
    <w:p>
      <w:r>
        <w:br w:type="page"/>
      </w:r>
    </w:p>
    <w:p>
      <w:pPr>
        <w:sectPr>
          <w:pgSz w:w="12240" w:h="15840" w:orient="portrait"/>
          <w:pgMar w:top="1440" w:right="1440" w:bottom="1440" w:left="1440" w:header="708" w:footer="708" w:gutter="0"/>
          <w:pgNumType/>
          <w:docGrid w:linePitch="360"/>
        </w:sectPr>
      </w:pPr>
    </w:p>
    <w:p>
      <w:pPr>
        <w:pStyle w:val="Heading1"/>
      </w:pPr>
      <w:r>
        <w:t xml:space="preserve">1. Purpose</w:t>
      </w:r>
    </w:p>
    <w:p>
      <w:pPr>
        <w:spacing w:after="120"/>
      </w:pPr>
      <w:r>
        <w:rPr>
          <w:rFonts w:ascii="Arial" w:cs="Arial" w:eastAsia="Arial" w:hAnsi="Arial"/>
          <w:sz w:val="22"/>
          <w:szCs w:val="22"/>
        </w:rPr>
        <w:t xml:space="preserve">Project Ouroboros is the zero-cost validation phase for Project Chimera, a ~9.3B hybrid Mamba/Transformer coding model with a 15-step exponential d_state gradient and β-controlled decay. Before spending $1,150–$2,298 on Lambda.ai GPU training, Ouroboros proves every novel architectural concept at small scale using free hardware.</w:t>
      </w:r>
    </w:p>
    <w:p>
      <w:pPr>
        <w:spacing w:after="120"/>
      </w:pPr>
      <w:r>
        <w:rPr>
          <w:rFonts w:ascii="Arial" w:cs="Arial" w:eastAsia="Arial" w:hAnsi="Arial"/>
          <w:sz w:val="22"/>
          <w:szCs w:val="22"/>
        </w:rPr>
        <w:t xml:space="preserve">The name reflects the self-validating nature of the pipeline: the model’s architecture is tested by building a miniature version of itself, with results feeding back to refine the full-scale design.</w:t>
      </w:r>
    </w:p>
    <w:p>
      <w:pPr>
        <w:spacing w:after="120"/>
      </w:pPr>
      <w:r>
        <w:rPr>
          <w:rFonts w:ascii="Arial" w:cs="Arial" w:eastAsia="Arial" w:hAnsi="Arial"/>
          <w:sz w:val="22"/>
          <w:szCs w:val="22"/>
        </w:rPr>
        <w:t xml:space="preserve">Five steps. Five days. Zero dollars. The output is a go/no-go decision for every major component of Chimera, with empirical data replacing theory and hope.</w:t>
      </w:r>
    </w:p>
    <w:p>
      <w:pPr>
        <w:pStyle w:val="Heading2"/>
      </w:pPr>
      <w:r>
        <w:t xml:space="preserve">1.1 What Ouroboros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Question</w:t>
            </w:r>
          </w:p>
        </w:tc>
        <w:tc>
          <w:tcPr>
            <w:tcW w:type="dxa" w:w="7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Step</w:t>
            </w:r>
          </w:p>
        </w:tc>
        <w:tc>
          <w:tcPr>
            <w:tcW w:type="dxa" w:w="54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If It Fails</w:t>
            </w:r>
          </w:p>
        </w:tc>
      </w:tr>
      <w:tr>
        <w:tc>
          <w:tcPr>
            <w:tcW w:type="dxa" w:w="3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Can Mamba layers replace Transformer attention?</w:t>
            </w:r>
          </w:p>
        </w:tc>
        <w:tc>
          <w:tcPr>
            <w:tcW w:type="dxa" w:w="7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1</w:t>
            </w:r>
          </w:p>
        </w:tc>
        <w:tc>
          <w:tcPr>
            <w:tcW w:type="dxa" w:w="54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Entire project is infeasible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Does the Qwen family convert cleanly?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Switch to different base model</w:t>
            </w:r>
          </w:p>
        </w:tc>
      </w:tr>
      <w:tr>
        <w:tc>
          <w:tcPr>
            <w:tcW w:type="dxa" w:w="3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Does distillation from a larger teacher work?</w:t>
            </w:r>
          </w:p>
        </w:tc>
        <w:tc>
          <w:tcPr>
            <w:tcW w:type="dxa" w:w="7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3</w:t>
            </w:r>
          </w:p>
        </w:tc>
        <w:tc>
          <w:tcPr>
            <w:tcW w:type="dxa" w:w="54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Revisit training approach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Does the d_state gradient + β actually specialize?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Skip gradient, use three-tier (saves $280–489)</w:t>
            </w:r>
          </w:p>
        </w:tc>
      </w:tr>
      <w:tr>
        <w:tc>
          <w:tcPr>
            <w:tcW w:type="dxa" w:w="3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Can the hybrid model export to GGUF?</w:t>
            </w:r>
          </w:p>
        </w:tc>
        <w:tc>
          <w:tcPr>
            <w:tcW w:type="dxa" w:w="7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5</w:t>
            </w:r>
          </w:p>
        </w:tc>
        <w:tc>
          <w:tcPr>
            <w:tcW w:type="dxa" w:w="54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Ship as Python inference only</w:t>
            </w:r>
          </w:p>
        </w:tc>
      </w:tr>
    </w:tbl>
    <w:p>
      <w:pPr>
        <w:pStyle w:val="Heading2"/>
      </w:pPr>
      <w:r>
        <w:t xml:space="preserve">1.2 Relationship to Project Chimera</w:t>
      </w:r>
    </w:p>
    <w:p>
      <w:pPr>
        <w:spacing w:after="120"/>
      </w:pPr>
      <w:r>
        <w:rPr>
          <w:rFonts w:ascii="Arial" w:cs="Arial" w:eastAsia="Arial" w:hAnsi="Arial"/>
          <w:sz w:val="22"/>
          <w:szCs w:val="22"/>
        </w:rPr>
        <w:t xml:space="preserve">Ouroboros is Chimera’s proof-of-concept phase. Every system built here becomes reusable scaffolding for the full 9B training run. The conversion engine, distillation trainer, gradient implementation, and export pipeline are the same code—just pointed at larger models on more expensive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Ouroboros (free)</w:t>
            </w:r>
          </w:p>
        </w:tc>
        <w:tc>
          <w:tcPr>
            <w:tcW w:type="dxa" w:w="46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Chimera (paid)</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Qwen2.5-0.5B student</w:t>
            </w:r>
          </w:p>
        </w:tc>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Qwen3.5-9B student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Qwen2.5-3B teacher (BF16)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Qwen3-Coder-Next 80B MoE (FP8)</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Colab T4 (16GB, free)</w:t>
            </w:r>
          </w:p>
        </w:tc>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Lambda B200 (180GB, $6.99/hr) + GH200 (96GB, $2.29/hr)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9-step gradient (d16→d256)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15-step gradient (d64→1024)</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~5 MB state</w:t>
            </w:r>
          </w:p>
        </w:tc>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~124 MB state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2–5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1.5–2.5 weeks</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w:t>
            </w:r>
          </w:p>
        </w:tc>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$1,150–$2,298</w:t>
            </w:r>
          </w:p>
        </w:tc>
      </w:tr>
    </w:tbl>
    <w:p>
      <w:pPr>
        <w:pStyle w:val="Heading1"/>
      </w:pPr>
      <w:r>
        <w:t xml:space="preserve">2. Hardware Requirements</w:t>
      </w:r>
    </w:p>
    <w:p>
      <w:pPr>
        <w:pStyle w:val="Heading2"/>
      </w:pPr>
      <w:r>
        <w:t xml:space="preserve">2.1 Step 1: Laptop or Desktop (CPU)</w:t>
      </w:r>
    </w:p>
    <w:p>
      <w:pPr>
        <w:spacing w:after="120"/>
      </w:pPr>
      <w:r>
        <w:rPr>
          <w:rFonts w:ascii="Arial" w:cs="Arial" w:eastAsia="Arial" w:hAnsi="Arial"/>
          <w:sz w:val="22"/>
          <w:szCs w:val="22"/>
        </w:rPr>
        <w:t xml:space="preserve">Any machine with Python 3.10+ and 8GB+ RAM. No GPU required. The FallbackMamba layer (included in the scaffold) replaces real Mamba kernels with a simple gated linear unit for CPU testing. This proves the conversion architecture works without CUDA.</w:t>
      </w:r>
    </w:p>
    <w:p>
      <w:pPr>
        <w:pStyle w:val="Heading2"/>
      </w:pPr>
      <w:r>
        <w:t xml:space="preserve">2.2 Steps 2–4: Google Colab Free Tier (T4)</w:t>
      </w:r>
    </w:p>
    <w:p>
      <w:pPr>
        <w:spacing w:after="120"/>
      </w:pPr>
      <w:r>
        <w:rPr>
          <w:rFonts w:ascii="Arial" w:cs="Arial" w:eastAsia="Arial" w:hAnsi="Arial"/>
          <w:sz w:val="22"/>
          <w:szCs w:val="22"/>
        </w:rPr>
        <w:t xml:space="preserve">NVIDIA T4 with 16GB VRAM. The mamba-ssm package requires CUDA—this is the cheapest way to get real Mamba kernels running. The Steam Deck’s AMD GPU cannot run mamba-ssm.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4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VRAM</w:t>
            </w:r>
          </w:p>
        </w:tc>
      </w:tr>
      <w:tr>
        <w:tc>
          <w:tcPr>
            <w:tcW w:type="dxa" w:w="5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Student 0.5B (BF16)</w:t>
            </w:r>
          </w:p>
        </w:tc>
        <w:tc>
          <w:tcPr>
            <w:tcW w:type="dxa" w:w="4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Teacher 3B (BF16)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~6 GB</w:t>
            </w:r>
          </w:p>
        </w:tc>
      </w:tr>
      <w:tr>
        <w:tc>
          <w:tcPr>
            <w:tcW w:type="dxa" w:w="5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8-bit AdamW optimizer</w:t>
            </w:r>
          </w:p>
        </w:tc>
        <w:tc>
          <w:tcPr>
            <w:tcW w:type="dxa" w:w="4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Activations (grad checkpoint)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~2–4 GB</w:t>
            </w:r>
          </w:p>
        </w:tc>
      </w:tr>
      <w:tr>
        <w:tc>
          <w:tcPr>
            <w:tcW w:type="dxa" w:w="5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Total</w:t>
            </w:r>
          </w:p>
        </w:tc>
        <w:tc>
          <w:tcPr>
            <w:tcW w:type="dxa" w:w="4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~10–13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T4 headroom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~3–6 GB</w:t>
            </w:r>
          </w:p>
        </w:tc>
      </w:tr>
    </w:tbl>
    <w:p>
      <w:pPr>
        <w:spacing w:after="60"/>
      </w:pPr>
    </w:p>
    <w:p>
      <w:pPr>
        <w:spacing w:after="120"/>
      </w:pPr>
      <w:r>
        <w:rPr>
          <w:rFonts w:ascii="Arial" w:cs="Arial" w:eastAsia="Arial" w:hAnsi="Arial"/>
          <w:sz w:val="22"/>
          <w:szCs w:val="22"/>
        </w:rPr>
        <w:t xml:space="preserve">Colab free tier disconnects after ~12 hours. Checkpoint every 30 minutes and resume. For the 4–6 hour gradient experiment, this means 1–2 reconnections.</w:t>
      </w:r>
    </w:p>
    <w:p>
      <w:pPr>
        <w:pStyle w:val="Heading2"/>
      </w:pPr>
      <w:r>
        <w:t xml:space="preserve">2.3 Step 5: Laptop (CPU or GPU)</w:t>
      </w:r>
    </w:p>
    <w:p>
      <w:pPr>
        <w:spacing w:after="120"/>
      </w:pPr>
      <w:r>
        <w:rPr>
          <w:rFonts w:ascii="Arial" w:cs="Arial" w:eastAsia="Arial" w:hAnsi="Arial"/>
          <w:sz w:val="22"/>
          <w:szCs w:val="22"/>
        </w:rPr>
        <w:t xml:space="preserve">GGUF conversion uses llama.cpp’s Python converter—CPU is sufficient. Testing the GGUF requires llama.cpp compiled for your hardware (CPU, CUDA, Metal, or Vulkan).</w:t>
      </w:r>
    </w:p>
    <w:p>
      <w:pPr>
        <w:pStyle w:val="Heading1"/>
      </w:pPr>
      <w:r>
        <w:t xml:space="preserve">3.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6060"/>
      </w:tblGrid>
      <w:tr>
        <w:tc>
          <w:tcPr>
            <w:tcW w:type="dxa" w:w="1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Package</w:t>
            </w:r>
          </w:p>
        </w:tc>
        <w:tc>
          <w:tcPr>
            <w:tcW w:type="dxa" w:w="9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1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Used In</w:t>
            </w:r>
          </w:p>
        </w:tc>
        <w:tc>
          <w:tcPr>
            <w:tcW w:type="dxa" w:w="60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torch</w:t>
            </w:r>
          </w:p>
        </w:tc>
        <w:tc>
          <w:tcPr>
            <w:tcW w:type="dxa" w:w="9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 2.4.0</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All steps</w:t>
            </w:r>
          </w:p>
        </w:tc>
        <w:tc>
          <w:tcPr>
            <w:tcW w:type="dxa" w:w="60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PyTorch core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transformers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 4.45.0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All steps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Model loading (Qwen family)</w:t>
            </w:r>
          </w:p>
        </w:tc>
      </w:tr>
      <w:t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mamba-ssm</w:t>
            </w:r>
          </w:p>
        </w:tc>
        <w:tc>
          <w:tcPr>
            <w:tcW w:type="dxa" w:w="9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 2.2.2</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 2–4</w:t>
            </w:r>
          </w:p>
        </w:tc>
        <w:tc>
          <w:tcPr>
            <w:tcW w:type="dxa" w:w="60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Real Mamba kernels. CUDA required. pip install --no-build-isolation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causal-conv1d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 1.4.0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 2–4</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Dependency of mamba-ssm</w:t>
            </w:r>
          </w:p>
        </w:tc>
      </w:tr>
      <w:t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flash-attn</w:t>
            </w:r>
          </w:p>
        </w:tc>
        <w:tc>
          <w:tcPr>
            <w:tcW w:type="dxa" w:w="9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 2.6.0</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 2–4</w:t>
            </w:r>
          </w:p>
        </w:tc>
        <w:tc>
          <w:tcPr>
            <w:tcW w:type="dxa" w:w="60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Efficient attention for remaining layers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bitsandbytes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 0.43.0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 2–4</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8-bit AdamW optimizer</w:t>
            </w:r>
          </w:p>
        </w:tc>
      </w:tr>
      <w:t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datasets</w:t>
            </w:r>
          </w:p>
        </w:tc>
        <w:tc>
          <w:tcPr>
            <w:tcW w:type="dxa" w:w="9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 2.19.0</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 3–4</w:t>
            </w:r>
          </w:p>
        </w:tc>
        <w:tc>
          <w:tcPr>
            <w:tcW w:type="dxa" w:w="60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WikiText-2 / code data loading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llama.cpp (Python)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latest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5</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GGUF conversion + inference test</w:t>
            </w:r>
          </w:p>
        </w:tc>
      </w:tr>
    </w:tbl>
    <w:p>
      <w:pPr>
        <w:pStyle w:val="Heading1"/>
      </w:pPr>
      <w:r>
        <w:t xml:space="preserve">4. Step 1: Mamba Conversion on Pythia-160M (CPU)</w:t>
      </w:r>
    </w:p>
    <w:p>
      <w:pPr>
        <w:pStyle w:val="Heading2"/>
      </w:pPr>
      <w:r>
        <w:t xml:space="preserve">4.1 Objective</w:t>
      </w:r>
    </w:p>
    <w:p>
      <w:pPr>
        <w:spacing w:after="120"/>
      </w:pPr>
      <w:r>
        <w:rPr>
          <w:rFonts w:ascii="Arial" w:cs="Arial" w:eastAsia="Arial" w:hAnsi="Arial"/>
          <w:sz w:val="22"/>
          <w:szCs w:val="22"/>
        </w:rPr>
        <w:t xml:space="preserve">Prove the scaffold’s layer conversion works: identify layers, extract Q/K/V weights, initialize Mamba C/B/X projections, prepend sink tokens, run forward pass. No distillation, no training—just conversion and verification.</w:t>
      </w:r>
    </w:p>
    <w:p>
      <w:pPr>
        <w:pStyle w:val="Heading2"/>
      </w:pPr>
      <w:r>
        <w:t xml:space="preserve">4.2 Why Pythia First</w:t>
      </w:r>
    </w:p>
    <w:p>
      <w:pPr>
        <w:spacing w:after="120"/>
      </w:pPr>
      <w:r>
        <w:rPr>
          <w:rFonts w:ascii="Arial" w:cs="Arial" w:eastAsia="Arial" w:hAnsi="Arial"/>
          <w:sz w:val="22"/>
          <w:szCs w:val="22"/>
        </w:rPr>
        <w:t xml:space="preserve">Pythia-160M is the simplest possible test: standard MHA (no GQA), fused QKV weight matrix, GPT-NeoX architecture with extensive documentation. 12 layers, hidden_size 768. If the scaffold can’t convert this, nothing else will work.</w:t>
      </w:r>
    </w:p>
    <w:p>
      <w:pPr>
        <w:pStyle w:val="Heading2"/>
      </w:pPr>
      <w:r>
        <w:t xml:space="preserve">4.3 Procedure</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Install torch + transformers (no CUDA needed).</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Run: python scripts/convert_and_test.py --model EleutherAI/pythia-160m --device cpu</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The script will: load the model, identify 12 layers, select 9 for Mamba conversion (keep layers 0, 3, 7, 11 as attention), extract fused QKV weights, split into Q/K/V, initialize Mamba C/B/X from them, create 4 learnable sink tokens, run a forward pass, compare logits against the original model.</w:t>
      </w:r>
    </w:p>
    <w:p>
      <w:pPr>
        <w:pStyle w:val="Heading2"/>
      </w:pPr>
      <w:r>
        <w:t xml:space="preserve">4.4 Expected Results</w:t>
      </w:r>
    </w:p>
    <w:p>
      <w:pPr>
        <w:spacing w:after="120"/>
      </w:pPr>
      <w:r>
        <w:rPr>
          <w:rFonts w:ascii="Arial" w:cs="Arial" w:eastAsia="Arial" w:hAnsi="Arial"/>
          <w:b/>
          <w:bCs/>
          <w:sz w:val="22"/>
          <w:szCs w:val="22"/>
        </w:rPr>
        <w:t xml:space="preserve">Logit cosine similarity: </w:t>
      </w:r>
      <w:r>
        <w:rPr>
          <w:rFonts w:ascii="Arial" w:cs="Arial" w:eastAsia="Arial" w:hAnsi="Arial"/>
          <w:sz w:val="22"/>
          <w:szCs w:val="22"/>
        </w:rPr>
        <w:t xml:space="preserve">0.1–0.4 (low—expected for a freshly converted model with no distillation).</w:t>
      </w:r>
    </w:p>
    <w:p>
      <w:pPr>
        <w:spacing w:after="120"/>
      </w:pPr>
      <w:r>
        <w:rPr>
          <w:rFonts w:ascii="Arial" w:cs="Arial" w:eastAsia="Arial" w:hAnsi="Arial"/>
          <w:b/>
          <w:bCs/>
          <w:sz w:val="22"/>
          <w:szCs w:val="22"/>
        </w:rPr>
        <w:t xml:space="preserve">Generation output: </w:t>
      </w:r>
      <w:r>
        <w:rPr>
          <w:rFonts w:ascii="Arial" w:cs="Arial" w:eastAsia="Arial" w:hAnsi="Arial"/>
          <w:sz w:val="22"/>
          <w:szCs w:val="22"/>
        </w:rPr>
        <w:t xml:space="preserve">Gibberish or semi-coherent text. This is normal—distillation (Step 3) will fix it.</w:t>
      </w:r>
    </w:p>
    <w:p>
      <w:pPr>
        <w:spacing w:after="120"/>
      </w:pPr>
      <w:r>
        <w:rPr>
          <w:rFonts w:ascii="Arial" w:cs="Arial" w:eastAsia="Arial" w:hAnsi="Arial"/>
          <w:b/>
          <w:bCs/>
          <w:sz w:val="22"/>
          <w:szCs w:val="22"/>
        </w:rPr>
        <w:t xml:space="preserve">Parameter counts: </w:t>
      </w:r>
      <w:r>
        <w:rPr>
          <w:rFonts w:ascii="Arial" w:cs="Arial" w:eastAsia="Arial" w:hAnsi="Arial"/>
          <w:sz w:val="22"/>
          <w:szCs w:val="22"/>
        </w:rPr>
        <w:t xml:space="preserve">Total ~160M, trainable (Mamba layers + sinks) ~40–60M in Phase 1 mode.</w:t>
      </w:r>
    </w:p>
    <w:p>
      <w:pPr>
        <w:spacing w:after="120"/>
      </w:pPr>
      <w:r>
        <w:rPr>
          <w:rFonts w:ascii="Arial" w:cs="Arial" w:eastAsia="Arial" w:hAnsi="Arial"/>
          <w:b/>
          <w:bCs/>
          <w:sz w:val="22"/>
          <w:szCs w:val="22"/>
        </w:rPr>
        <w:t xml:space="preserve">No errors: </w:t>
      </w:r>
      <w:r>
        <w:rPr>
          <w:rFonts w:ascii="Arial" w:cs="Arial" w:eastAsia="Arial" w:hAnsi="Arial"/>
          <w:sz w:val="22"/>
          <w:szCs w:val="22"/>
        </w:rPr>
        <w:t xml:space="preserve">The critical check. If the forward pass completes without NaN, shape mismatches, or crashes, the conversion works.</w:t>
      </w:r>
    </w:p>
    <w:p>
      <w:pPr>
        <w:pStyle w:val="Heading2"/>
      </w:pPr>
      <w:r>
        <w:t xml:space="preserve">4.5 What Can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Failure</w:t>
            </w:r>
          </w:p>
        </w:tc>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Cause</w:t>
            </w:r>
          </w:p>
        </w:tc>
        <w:tc>
          <w:tcPr>
            <w:tcW w:type="dxa" w:w="4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Fix</w:t>
            </w:r>
          </w:p>
        </w:tc>
      </w:tr>
      <w:tr>
        <w:tc>
          <w:tcPr>
            <w:tcW w:type="dxa" w:w="2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Shape mismatch in forward pass</w:t>
            </w:r>
          </w:p>
        </w:tc>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QKV split incorrect for Pythia’s fused format</w:t>
            </w:r>
          </w:p>
        </w:tc>
        <w:tc>
          <w:tcPr>
            <w:tcW w:type="dxa" w:w="4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Check GPT-NeoX interleaving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NaN in output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Normalization mismatch (RMSNorm vs LayerNorm placement)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Verify norm placement before/after Mamba</w:t>
            </w:r>
          </w:p>
        </w:tc>
      </w:tr>
      <w:tr>
        <w:tc>
          <w:tcPr>
            <w:tcW w:type="dxa" w:w="2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FallbackMamba produces garbage</w:t>
            </w:r>
          </w:p>
        </w:tc>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Expected—it’s not a real SSM</w:t>
            </w:r>
          </w:p>
        </w:tc>
        <w:tc>
          <w:tcPr>
            <w:tcW w:type="dxa" w:w="4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Confirm with real Mamba in Step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CUDA out of memory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Should not happen on CPU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Reduce batch size or check for GPU leak</w:t>
            </w:r>
          </w:p>
        </w:tc>
      </w:tr>
    </w:tbl>
    <w:p>
      <w:pPr>
        <w:pStyle w:val="Heading2"/>
      </w:pPr>
      <w:r>
        <w:t xml:space="preserve">4.6 Duration &amp; Output</w:t>
      </w:r>
    </w:p>
    <w:p>
      <w:pPr>
        <w:spacing w:after="120"/>
      </w:pPr>
      <w:r>
        <w:rPr>
          <w:rFonts w:ascii="Arial" w:cs="Arial" w:eastAsia="Arial" w:hAnsi="Arial"/>
          <w:sz w:val="22"/>
          <w:szCs w:val="22"/>
        </w:rPr>
        <w:t xml:space="preserve">~1 hour including model download. Output: a working HybridChimeraModel class that converts any supported Transformer to a hybrid. This class is reused for every subsequent step.</w:t>
      </w:r>
    </w:p>
    <w:p>
      <w:pPr>
        <w:pStyle w:val="Heading1"/>
      </w:pPr>
      <w:r>
        <w:t xml:space="preserve">5. Step 2: Mamba Conversion on Qwen2.5-0.5B (Colab T4)</w:t>
      </w:r>
    </w:p>
    <w:p>
      <w:pPr>
        <w:pStyle w:val="Heading2"/>
      </w:pPr>
      <w:r>
        <w:t xml:space="preserve">5.1 Objective</w:t>
      </w:r>
    </w:p>
    <w:p>
      <w:pPr>
        <w:spacing w:after="120"/>
      </w:pPr>
      <w:r>
        <w:rPr>
          <w:rFonts w:ascii="Arial" w:cs="Arial" w:eastAsia="Arial" w:hAnsi="Arial"/>
          <w:sz w:val="22"/>
          <w:szCs w:val="22"/>
        </w:rPr>
        <w:t xml:space="preserve">Prove the Qwen family conversion works with real Mamba kernels. Qwen2.5-0.5B uses GQA (14 query heads, 2 KV heads)—the same pattern the target Qwen3.5-9B uses. This is the critical architecture compatibility test.</w:t>
      </w:r>
    </w:p>
    <w:p>
      <w:pPr>
        <w:pStyle w:val="Heading2"/>
      </w:pPr>
      <w:r>
        <w:t xml:space="preserve">5.2 Model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Parameter</w:t>
            </w:r>
          </w:p>
        </w:tc>
        <w:tc>
          <w:tcPr>
            <w:tcW w:type="dxa" w:w="2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Pythia-160M (Step 1)</w:t>
            </w:r>
          </w:p>
        </w:tc>
        <w:tc>
          <w:tcPr>
            <w:tcW w:type="dxa" w:w="49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Qwen2.5-0.5B (Step 2)</w:t>
            </w:r>
          </w:p>
        </w:tc>
      </w:tr>
      <w:tr>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Layers</w:t>
            </w:r>
          </w:p>
        </w:tc>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w:t>
            </w:r>
          </w:p>
        </w:tc>
        <w:tc>
          <w:tcPr>
            <w:tcW w:type="dxa" w:w="49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Hidden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768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896</w:t>
            </w:r>
          </w:p>
        </w:tc>
      </w:tr>
      <w:tr>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Attention</w:t>
            </w:r>
          </w:p>
        </w:tc>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Standard MHA (12 heads)</w:t>
            </w:r>
          </w:p>
        </w:tc>
        <w:tc>
          <w:tcPr>
            <w:tcW w:type="dxa" w:w="49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GQA (14Q / 2KV)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QKV format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Fused (query_key_value)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Separate (q_proj, k_proj, v_proj)</w:t>
            </w:r>
          </w:p>
        </w:tc>
      </w:tr>
      <w:tr>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Norm</w:t>
            </w:r>
          </w:p>
        </w:tc>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LayerNorm</w:t>
            </w:r>
          </w:p>
        </w:tc>
        <w:tc>
          <w:tcPr>
            <w:tcW w:type="dxa" w:w="49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RMSNorm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VRAM (BF16)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~0.3 GB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 GB</w:t>
            </w:r>
          </w:p>
        </w:tc>
      </w:tr>
      <w:tr>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Conversion target</w:t>
            </w:r>
          </w:p>
        </w:tc>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9 Mamba + 3 Attention</w:t>
            </w:r>
          </w:p>
        </w:tc>
        <w:tc>
          <w:tcPr>
            <w:tcW w:type="dxa" w:w="49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18 Mamba + 6 Attention</w:t>
            </w:r>
          </w:p>
        </w:tc>
      </w:tr>
    </w:tbl>
    <w:p>
      <w:pPr>
        <w:pStyle w:val="Heading2"/>
      </w:pPr>
      <w:r>
        <w:t xml:space="preserve">5.3 Procedure</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Open Google Colab, select T4 GPU runtime.</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Install: pip install torch transformers mamba-ssm --no-build-isolation flash-attn bitsandbytes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Upload scaffold or clone repo.</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Run: python scripts/convert_and_test.py --model Qwen/Qwen2.5-0.5B --device cuda</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Verify: forward pass completes, logits have correct shape, real Mamba kernels execute.</w:t>
      </w:r>
    </w:p>
    <w:p>
      <w:pPr>
        <w:pStyle w:val="Heading2"/>
      </w:pPr>
      <w:r>
        <w:t xml:space="preserve">5.4 GQA-Specific Questions</w:t>
      </w:r>
    </w:p>
    <w:p>
      <w:pPr>
        <w:spacing w:after="120"/>
      </w:pPr>
      <w:r>
        <w:rPr>
          <w:rFonts w:ascii="Arial" w:cs="Arial" w:eastAsia="Arial" w:hAnsi="Arial"/>
          <w:b/>
          <w:bCs/>
          <w:sz w:val="22"/>
          <w:szCs w:val="22"/>
        </w:rPr>
        <w:t xml:space="preserve">Q projection: </w:t>
      </w:r>
      <w:r>
        <w:rPr>
          <w:rFonts w:ascii="Arial" w:cs="Arial" w:eastAsia="Arial" w:hAnsi="Arial"/>
          <w:sz w:val="22"/>
          <w:szCs w:val="22"/>
        </w:rPr>
        <w:t xml:space="preserve">(896, 896) — 14 heads × 64 dim. Maps to Mamba C (output read).</w:t>
      </w:r>
    </w:p>
    <w:p>
      <w:pPr>
        <w:spacing w:after="120"/>
      </w:pPr>
      <w:r>
        <w:rPr>
          <w:rFonts w:ascii="Arial" w:cs="Arial" w:eastAsia="Arial" w:hAnsi="Arial"/>
          <w:b/>
          <w:bCs/>
          <w:sz w:val="22"/>
          <w:szCs w:val="22"/>
        </w:rPr>
        <w:t xml:space="preserve">K projection: </w:t>
      </w:r>
      <w:r>
        <w:rPr>
          <w:rFonts w:ascii="Arial" w:cs="Arial" w:eastAsia="Arial" w:hAnsi="Arial"/>
          <w:sz w:val="22"/>
          <w:szCs w:val="22"/>
        </w:rPr>
        <w:t xml:space="preserve">(896, 128) — 2 KV heads × 64 dim. Much smaller. Maps to Mamba B (input gate). Must handle size mismatch—either tile the K weights or use a subset of C.</w:t>
      </w:r>
    </w:p>
    <w:p>
      <w:pPr>
        <w:spacing w:after="120"/>
      </w:pPr>
      <w:r>
        <w:rPr>
          <w:rFonts w:ascii="Arial" w:cs="Arial" w:eastAsia="Arial" w:hAnsi="Arial"/>
          <w:b/>
          <w:bCs/>
          <w:sz w:val="22"/>
          <w:szCs w:val="22"/>
        </w:rPr>
        <w:t xml:space="preserve">V projection: </w:t>
      </w:r>
      <w:r>
        <w:rPr>
          <w:rFonts w:ascii="Arial" w:cs="Arial" w:eastAsia="Arial" w:hAnsi="Arial"/>
          <w:sz w:val="22"/>
          <w:szCs w:val="22"/>
        </w:rPr>
        <w:t xml:space="preserve">(896, 128) — same as K. Maps to Mamba X (input). Same size-mismatch handling.</w:t>
      </w:r>
    </w:p>
    <w:p>
      <w:pPr>
        <w:spacing w:after="120"/>
      </w:pPr>
      <w:r>
        <w:rPr>
          <w:rFonts w:ascii="Arial" w:cs="Arial" w:eastAsia="Arial" w:hAnsi="Arial"/>
          <w:b/>
          <w:bCs/>
          <w:sz w:val="22"/>
          <w:szCs w:val="22"/>
        </w:rPr>
        <w:t xml:space="preserve">O projection: </w:t>
      </w:r>
      <w:r>
        <w:rPr>
          <w:rFonts w:ascii="Arial" w:cs="Arial" w:eastAsia="Arial" w:hAnsi="Arial"/>
          <w:sz w:val="22"/>
          <w:szCs w:val="22"/>
        </w:rPr>
        <w:t xml:space="preserve">(896, 896) — standard output. Maps directly.</w:t>
      </w:r>
    </w:p>
    <w:p>
      <w:pPr>
        <w:spacing w:after="120"/>
      </w:pPr>
      <w:r>
        <w:rPr>
          <w:rFonts w:ascii="Arial" w:cs="Arial" w:eastAsia="Arial" w:hAnsi="Arial"/>
          <w:sz w:val="22"/>
          <w:szCs w:val="22"/>
        </w:rPr>
        <w:t xml:space="preserve">The K/V size mismatch (128 vs 896) is the key new challenge vs Pythia. The scaffold must handle GQA’s asymmetric projections. If this works here, it will work on Qwen3.5-9B.</w:t>
      </w:r>
    </w:p>
    <w:p>
      <w:pPr>
        <w:pStyle w:val="Heading2"/>
      </w:pPr>
      <w:r>
        <w:t xml:space="preserve">5.5 Duration &amp; Output</w:t>
      </w:r>
    </w:p>
    <w:p>
      <w:pPr>
        <w:spacing w:after="120"/>
      </w:pPr>
      <w:r>
        <w:rPr>
          <w:rFonts w:ascii="Arial" w:cs="Arial" w:eastAsia="Arial" w:hAnsi="Arial"/>
          <w:sz w:val="22"/>
          <w:szCs w:val="22"/>
        </w:rPr>
        <w:t xml:space="preserve">~1–2 hours including Colab setup. Output: confirmed Qwen→Mamba conversion with real CUDA kernels. The GQA handling code is proven and reusable.</w:t>
      </w:r>
    </w:p>
    <w:p>
      <w:pPr>
        <w:pStyle w:val="Heading1"/>
      </w:pPr>
      <w:r>
        <w:t xml:space="preserve">6. Step 3: Distillation from 3B Teacher (Colab T4)</w:t>
      </w:r>
    </w:p>
    <w:p>
      <w:pPr>
        <w:pStyle w:val="Heading2"/>
      </w:pPr>
      <w:r>
        <w:t xml:space="preserve">6.1 Objective</w:t>
      </w:r>
    </w:p>
    <w:p>
      <w:pPr>
        <w:spacing w:after="120"/>
      </w:pPr>
      <w:r>
        <w:rPr>
          <w:rFonts w:ascii="Arial" w:cs="Arial" w:eastAsia="Arial" w:hAnsi="Arial"/>
          <w:sz w:val="22"/>
          <w:szCs w:val="22"/>
        </w:rPr>
        <w:t xml:space="preserve">Prove the full distillation pipeline works: teacher forward pass → student forward pass → KL divergence loss → backward pass through Mamba kernels → optimizer step → checkpoint. The converted model from Step 2 should improve measurably after distillation.</w:t>
      </w:r>
    </w:p>
    <w:p>
      <w:pPr>
        <w:pStyle w:val="Heading2"/>
      </w:pPr>
      <w:r>
        <w:t xml:space="preserve">6.2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68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c>
          <w:tcPr>
            <w:tcW w:type="dxa" w:w="2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Student</w:t>
            </w:r>
          </w:p>
        </w:tc>
        <w:tc>
          <w:tcPr>
            <w:tcW w:type="dxa" w:w="68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Qwen2.5-0.5B hybrid (18 Mamba + 6 Attention, from Step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Teacher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Qwen2.5-3B (BF16, ~6GB). 6x teacher-student ratio.</w:t>
            </w:r>
          </w:p>
        </w:tc>
      </w:tr>
      <w:tr>
        <w:tc>
          <w:tcPr>
            <w:tcW w:type="dxa" w:w="2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Data</w:t>
            </w:r>
          </w:p>
        </w:tc>
        <w:tc>
          <w:tcPr>
            <w:tcW w:type="dxa" w:w="68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WikiText-2 (free, auto-downloaded by HuggingFace datasets)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Optimizer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8-bit AdamW (bitsandbytes)</w:t>
            </w:r>
          </w:p>
        </w:tc>
      </w:tr>
      <w:tr>
        <w:tc>
          <w:tcPr>
            <w:tcW w:type="dxa" w:w="2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Sequence length</w:t>
            </w:r>
          </w:p>
        </w:tc>
        <w:tc>
          <w:tcPr>
            <w:tcW w:type="dxa" w:w="68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512–2048 tokens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Batch size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2–4</w:t>
            </w:r>
          </w:p>
        </w:tc>
      </w:tr>
      <w:tr>
        <w:tc>
          <w:tcPr>
            <w:tcW w:type="dxa" w:w="2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w:t>
            </w:r>
          </w:p>
        </w:tc>
        <w:tc>
          <w:tcPr>
            <w:tcW w:type="dxa" w:w="68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2000–5000 (enough to see loss decrease)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Temperature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2.0 (soft targets for dark knowledge)</w:t>
            </w:r>
          </w:p>
        </w:tc>
      </w:tr>
    </w:tbl>
    <w:p>
      <w:pPr>
        <w:pStyle w:val="Heading2"/>
      </w:pPr>
      <w:r>
        <w:t xml:space="preserve">6.3 Procedure</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Load teacher (Qwen2.5-3B) and student (hybrid from Step 2) on Colab T4.</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Run: python scripts/train_distill_small.py --student Qwen/Qwen2.5-0.5B --teacher Qwen/Qwen2.5-1.5B --max-steps 2000 --device cuda</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Note: start with 1.5B teacher if 3B doesn’t fit on T4 alongside the student + optimizer. 1.5B teacher (~3GB) is safer for VRAM. Upgrade to 3B teacher only if headroom allows.</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Monitor: loss should decrease steadily over 2000 steps. If loss plateaus or increases after step 200–500, check learning rate and gradient flow.</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After training: generate text with the student. Output should be noticeably more coherent than pre-distillation (Step 2).</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Checkpoint the distilled model. This is the starting point for Step 4.</w:t>
      </w:r>
    </w:p>
    <w:p>
      <w:pPr>
        <w:pStyle w:val="Heading2"/>
      </w:pPr>
      <w:r>
        <w:t xml:space="preserve">6.4 What to Measure</w:t>
      </w:r>
    </w:p>
    <w:p>
      <w:pPr>
        <w:spacing w:after="120"/>
      </w:pPr>
      <w:r>
        <w:rPr>
          <w:rFonts w:ascii="Arial" w:cs="Arial" w:eastAsia="Arial" w:hAnsi="Arial"/>
          <w:b/>
          <w:bCs/>
          <w:sz w:val="22"/>
          <w:szCs w:val="22"/>
        </w:rPr>
        <w:t xml:space="preserve">KL divergence loss curve: </w:t>
      </w:r>
      <w:r>
        <w:rPr>
          <w:rFonts w:ascii="Arial" w:cs="Arial" w:eastAsia="Arial" w:hAnsi="Arial"/>
          <w:sz w:val="22"/>
          <w:szCs w:val="22"/>
        </w:rPr>
        <w:t xml:space="preserve">Should decrease steadily. Log every 10 steps.</w:t>
      </w:r>
    </w:p>
    <w:p>
      <w:pPr>
        <w:spacing w:after="120"/>
      </w:pPr>
      <w:r>
        <w:rPr>
          <w:rFonts w:ascii="Arial" w:cs="Arial" w:eastAsia="Arial" w:hAnsi="Arial"/>
          <w:b/>
          <w:bCs/>
          <w:sz w:val="22"/>
          <w:szCs w:val="22"/>
        </w:rPr>
        <w:t xml:space="preserve">Perplexity on held-out WikiText-2: </w:t>
      </w:r>
      <w:r>
        <w:rPr>
          <w:rFonts w:ascii="Arial" w:cs="Arial" w:eastAsia="Arial" w:hAnsi="Arial"/>
          <w:sz w:val="22"/>
          <w:szCs w:val="22"/>
        </w:rPr>
        <w:t xml:space="preserve">Should improve from random-ish (~1000+) toward teacher-like (~20–50).</w:t>
      </w:r>
    </w:p>
    <w:p>
      <w:pPr>
        <w:spacing w:after="120"/>
      </w:pPr>
      <w:r>
        <w:rPr>
          <w:rFonts w:ascii="Arial" w:cs="Arial" w:eastAsia="Arial" w:hAnsi="Arial"/>
          <w:b/>
          <w:bCs/>
          <w:sz w:val="22"/>
          <w:szCs w:val="22"/>
        </w:rPr>
        <w:t xml:space="preserve">Generation quality: </w:t>
      </w:r>
      <w:r>
        <w:rPr>
          <w:rFonts w:ascii="Arial" w:cs="Arial" w:eastAsia="Arial" w:hAnsi="Arial"/>
          <w:sz w:val="22"/>
          <w:szCs w:val="22"/>
        </w:rPr>
        <w:t xml:space="preserve">Subjective but important. Pre-distillation: gibberish. Post-distillation: coherent English sentences.</w:t>
      </w:r>
    </w:p>
    <w:p>
      <w:pPr>
        <w:pStyle w:val="Heading2"/>
      </w:pPr>
      <w:r>
        <w:t xml:space="preserve">6.5 Critical Failure: Gradient Flow Through Mamba</w:t>
      </w:r>
    </w:p>
    <w:p>
      <w:pPr>
        <w:spacing w:after="120"/>
      </w:pPr>
      <w:r>
        <w:rPr>
          <w:rFonts w:ascii="Arial" w:cs="Arial" w:eastAsia="Arial" w:hAnsi="Arial"/>
          <w:sz w:val="22"/>
          <w:szCs w:val="22"/>
        </w:rPr>
        <w:t xml:space="preserve">This is where you discover whether mamba-ssm’s backward kernels work correctly in a hybrid model. If gradients don’t flow through the Mamba→Attention→Mamba transitions, loss won’t decrease. Watch for: loss stuck at initial value (no gradient), loss exploding (gradient instability), or NaN after a few hundred steps (numerical issue in backward pass).</w:t>
      </w:r>
    </w:p>
    <w:p>
      <w:pPr>
        <w:pStyle w:val="Heading2"/>
      </w:pPr>
      <w:r>
        <w:t xml:space="preserve">6.6 Duration &amp; Output</w:t>
      </w:r>
    </w:p>
    <w:p>
      <w:pPr>
        <w:spacing w:after="120"/>
      </w:pPr>
      <w:r>
        <w:rPr>
          <w:rFonts w:ascii="Arial" w:cs="Arial" w:eastAsia="Arial" w:hAnsi="Arial"/>
          <w:sz w:val="22"/>
          <w:szCs w:val="22"/>
        </w:rPr>
        <w:t xml:space="preserve">3–6 hours including setup. Output: a distilled hybrid model that generates coherent text, proving the full training loop works.</w:t>
      </w:r>
    </w:p>
    <w:p>
      <w:pPr>
        <w:pStyle w:val="Heading1"/>
      </w:pPr>
      <w:r>
        <w:t xml:space="preserve">7. Step 4: The d_state Gradient Experiment (Colab T4)</w:t>
      </w:r>
    </w:p>
    <w:p>
      <w:pPr>
        <w:spacing w:after="120"/>
      </w:pPr>
      <w:r>
        <w:rPr>
          <w:rFonts w:ascii="Arial" w:cs="Arial" w:eastAsia="Arial" w:hAnsi="Arial"/>
          <w:b/>
          <w:bCs/>
          <w:sz w:val="22"/>
          <w:szCs w:val="22"/>
        </w:rPr>
        <w:t xml:space="preserve">This is the most important step in Ouroboros. It answers the single question that determines whether Project Chimera spends $280–489 on Phase 2c or skips it entirely.</w:t>
      </w:r>
    </w:p>
    <w:p>
      <w:pPr>
        <w:pStyle w:val="Heading2"/>
      </w:pPr>
      <w:r>
        <w:t xml:space="preserve">7.1 Objective</w:t>
      </w:r>
    </w:p>
    <w:p>
      <w:pPr>
        <w:spacing w:after="120"/>
      </w:pPr>
      <w:r>
        <w:rPr>
          <w:rFonts w:ascii="Arial" w:cs="Arial" w:eastAsia="Arial" w:hAnsi="Arial"/>
          <w:sz w:val="22"/>
          <w:szCs w:val="22"/>
        </w:rPr>
        <w:t xml:space="preserve">Determine empirically whether a graduated d_state with β-controlled decay produces measurably better results than uniform or three-tier configurations. Four variants trained identically, evaluated head-to-head.</w:t>
      </w:r>
    </w:p>
    <w:p>
      <w:pPr>
        <w:pStyle w:val="Heading2"/>
      </w:pPr>
      <w:r>
        <w:t xml:space="preserve">7.2 The Scaled-Down Gradient</w:t>
      </w:r>
    </w:p>
    <w:p>
      <w:pPr>
        <w:spacing w:after="120"/>
      </w:pPr>
      <w:r>
        <w:rPr>
          <w:rFonts w:ascii="Arial" w:cs="Arial" w:eastAsia="Arial" w:hAnsi="Arial"/>
          <w:sz w:val="22"/>
          <w:szCs w:val="22"/>
        </w:rPr>
        <w:t xml:space="preserve">Proportionally scaled from 9B spec (hidden 3584, d64→1024) to 0.5B (hidden 896):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800"/>
        <w:gridCol w:w="1000"/>
        <w:gridCol w:w="6260"/>
      </w:tblGrid>
      <w:tr>
        <w:tc>
          <w:tcPr>
            <w:tcW w:type="dxa" w:w="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Step</w:t>
            </w:r>
          </w:p>
        </w:tc>
        <w:tc>
          <w:tcPr>
            <w:tcW w:type="dxa" w:w="7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d_state</w:t>
            </w:r>
          </w:p>
        </w:tc>
        <w:tc>
          <w:tcPr>
            <w:tcW w:type="dxa" w:w="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Layers</w:t>
            </w:r>
          </w:p>
        </w:tc>
        <w:tc>
          <w:tcPr>
            <w:tcW w:type="dxa" w:w="1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w:t>
            </w:r>
          </w:p>
        </w:tc>
        <w:tc>
          <w:tcPr>
            <w:tcW w:type="dxa" w:w="62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r>
      <w:tr>
        <w:tc>
          <w:tcPr>
            <w:tcW w:type="dxa" w:w="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w:t>
            </w:r>
          </w:p>
        </w:tc>
        <w:tc>
          <w:tcPr>
            <w:tcW w:type="dxa" w:w="7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16</w:t>
            </w:r>
          </w:p>
        </w:tc>
        <w:tc>
          <w:tcPr>
            <w:tcW w:type="dxa" w:w="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~0.03 MB</w:t>
            </w:r>
          </w:p>
        </w:tc>
        <w:tc>
          <w:tcPr>
            <w:tcW w:type="dxa" w:w="6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Token patterns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~0.04 MB</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Expression</w:t>
            </w:r>
          </w:p>
        </w:tc>
      </w:tr>
      <w:tr>
        <w:tc>
          <w:tcPr>
            <w:tcW w:type="dxa" w:w="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w:t>
            </w:r>
          </w:p>
        </w:tc>
        <w:tc>
          <w:tcPr>
            <w:tcW w:type="dxa" w:w="7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32</w:t>
            </w:r>
          </w:p>
        </w:tc>
        <w:tc>
          <w:tcPr>
            <w:tcW w:type="dxa" w:w="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5–6</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~0.06 MB</w:t>
            </w:r>
          </w:p>
        </w:tc>
        <w:tc>
          <w:tcPr>
            <w:tcW w:type="dxa" w:w="6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Statement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48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~0.09 MB</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Function</w:t>
            </w:r>
          </w:p>
        </w:tc>
      </w:tr>
      <w:tr>
        <w:tc>
          <w:tcPr>
            <w:tcW w:type="dxa" w:w="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5</w:t>
            </w:r>
          </w:p>
        </w:tc>
        <w:tc>
          <w:tcPr>
            <w:tcW w:type="dxa" w:w="7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64</w:t>
            </w:r>
          </w:p>
        </w:tc>
        <w:tc>
          <w:tcPr>
            <w:tcW w:type="dxa" w:w="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9–10</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~0.11 MB</w:t>
            </w:r>
          </w:p>
        </w:tc>
        <w:tc>
          <w:tcPr>
            <w:tcW w:type="dxa" w:w="6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Module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96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11–12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~0.17 MB</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Cross-module</w:t>
            </w:r>
          </w:p>
        </w:tc>
      </w:tr>
      <w:tr>
        <w:tc>
          <w:tcPr>
            <w:tcW w:type="dxa" w:w="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7</w:t>
            </w:r>
          </w:p>
        </w:tc>
        <w:tc>
          <w:tcPr>
            <w:tcW w:type="dxa" w:w="7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128</w:t>
            </w:r>
          </w:p>
        </w:tc>
        <w:tc>
          <w:tcPr>
            <w:tcW w:type="dxa" w:w="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13–14</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~0.23 MB</w:t>
            </w:r>
          </w:p>
        </w:tc>
        <w:tc>
          <w:tcPr>
            <w:tcW w:type="dxa" w:w="6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192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15–16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~0.34 MB</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Architecture</w:t>
            </w:r>
          </w:p>
        </w:tc>
      </w:tr>
      <w:tr>
        <w:tc>
          <w:tcPr>
            <w:tcW w:type="dxa" w:w="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9</w:t>
            </w:r>
          </w:p>
        </w:tc>
        <w:tc>
          <w:tcPr>
            <w:tcW w:type="dxa" w:w="7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256</w:t>
            </w:r>
          </w:p>
        </w:tc>
        <w:tc>
          <w:tcPr>
            <w:tcW w:type="dxa" w:w="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17–18</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~0.46 MB</w:t>
            </w:r>
          </w:p>
        </w:tc>
        <w:tc>
          <w:tcPr>
            <w:tcW w:type="dxa" w:w="6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Deep structural</w:t>
            </w:r>
          </w:p>
        </w:tc>
      </w:tr>
    </w:tbl>
    <w:p>
      <w:pPr>
        <w:spacing w:after="60"/>
      </w:pPr>
    </w:p>
    <w:p>
      <w:pPr>
        <w:spacing w:after="120"/>
      </w:pPr>
      <w:r>
        <w:rPr>
          <w:rFonts w:ascii="Arial" w:cs="Arial" w:eastAsia="Arial" w:hAnsi="Arial"/>
          <w:sz w:val="22"/>
          <w:szCs w:val="22"/>
        </w:rPr>
        <w:t xml:space="preserve">Total state: ~5.6 MB. The purpose is testing specialization, not capacity.</w:t>
      </w:r>
    </w:p>
    <w:p>
      <w:pPr>
        <w:pStyle w:val="Heading2"/>
      </w:pPr>
      <w:r>
        <w:t xml:space="preserve">7.3 β-Controlled Decay</w:t>
      </w:r>
    </w:p>
    <w:p>
      <w:pPr>
        <w:spacing w:after="120"/>
      </w:pPr>
      <w:r>
        <w:rPr>
          <w:rFonts w:ascii="Arial" w:cs="Arial" w:eastAsia="Arial" w:hAnsi="Arial"/>
          <w:sz w:val="22"/>
          <w:szCs w:val="22"/>
        </w:rPr>
        <w:t xml:space="preserve">Each variant D layer uses the depth-biased gating:</w:t>
      </w:r>
    </w:p>
    <w:p>
      <w:pPr>
        <w:spacing w:after="120"/>
      </w:pPr>
      <w:r>
        <w:rPr>
          <w:rFonts w:ascii="Arial" w:cs="Arial" w:eastAsia="Arial" w:hAnsi="Arial"/>
          <w:sz w:val="22"/>
          <w:szCs w:val="22"/>
        </w:rPr>
        <w:t xml:space="preserve">α_ℓ = σ(β · depth(ℓ) / L)    |    s_new = α_ℓ · s_old + (1 − α_ℓ) · c</w:t>
      </w:r>
    </w:p>
    <w:p>
      <w:pPr>
        <w:spacing w:after="120"/>
      </w:pPr>
      <w:r>
        <w:rPr>
          <w:rFonts w:ascii="Arial" w:cs="Arial" w:eastAsia="Arial" w:hAnsi="Arial"/>
          <w:sz w:val="22"/>
          <w:szCs w:val="22"/>
        </w:rPr>
        <w:t xml:space="preserve">β initialized at 0 (uniform decay, identical to baseline). Left fully learnable. After training, β’s value is the primary diagnostic.</w:t>
      </w:r>
    </w:p>
    <w:p>
      <w:pPr>
        <w:pStyle w:val="Heading2"/>
      </w:pPr>
      <w:r>
        <w:t xml:space="preserve">7.4 Four Variants (Head-to-Head)</w:t>
      </w:r>
    </w:p>
    <w:p>
      <w:pPr>
        <w:spacing w:after="120"/>
      </w:pPr>
      <w:r>
        <w:rPr>
          <w:rFonts w:ascii="Arial" w:cs="Arial" w:eastAsia="Arial" w:hAnsi="Arial"/>
          <w:sz w:val="22"/>
          <w:szCs w:val="22"/>
        </w:rPr>
        <w:t xml:space="preserve">All variants start from the same Step 3 distilled checkpoint. All trained for the same number of additional steps (2000–5000), same data, same learning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100"/>
        <w:gridCol w:w="4260"/>
      </w:tblGrid>
      <w:tr>
        <w:tc>
          <w:tcPr>
            <w:tcW w:type="dxa" w:w="1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Variant</w:t>
            </w:r>
          </w:p>
        </w:tc>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d_state Config</w:t>
            </w:r>
          </w:p>
        </w:tc>
        <w:tc>
          <w:tcPr>
            <w:tcW w:type="dxa" w:w="11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Total State</w:t>
            </w:r>
          </w:p>
        </w:tc>
        <w:tc>
          <w:tcPr>
            <w:tcW w:type="dxa" w:w="42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Tests</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 Uniform small</w:t>
            </w:r>
          </w:p>
        </w:tc>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18 × d16</w:t>
            </w:r>
          </w:p>
        </w:tc>
        <w:tc>
          <w:tcPr>
            <w:tcW w:type="dxa" w:w="11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~0.3 MB</w:t>
            </w:r>
          </w:p>
        </w:tc>
        <w:tc>
          <w:tcPr>
            <w:tcW w:type="dxa" w:w="4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Baseline: does the hybrid work at 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 Uniform large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18 × d64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 MB</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Does more capacity help uniformly?</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 Three-tier</w:t>
            </w:r>
          </w:p>
        </w:tc>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6×d16 + 6×d64 + 6×d128</w:t>
            </w:r>
          </w:p>
        </w:tc>
        <w:tc>
          <w:tcPr>
            <w:tcW w:type="dxa" w:w="11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~1.8 MB</w:t>
            </w:r>
          </w:p>
        </w:tc>
        <w:tc>
          <w:tcPr>
            <w:tcW w:type="dxa" w:w="4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Does discrete tiering beat uniform?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 9-step + β</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d16→d256 gradient, β learnable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~5.6 MB</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Does continuous gradient + β specialize?</w:t>
            </w:r>
          </w:p>
        </w:tc>
      </w:tr>
    </w:tbl>
    <w:p>
      <w:pPr>
        <w:pStyle w:val="Heading2"/>
      </w:pPr>
      <w:r>
        <w:t xml:space="preserve">7.5 Training Each Variant</w:t>
      </w:r>
    </w:p>
    <w:p>
      <w:pPr>
        <w:spacing w:after="120"/>
      </w:pPr>
      <w:r>
        <w:rPr>
          <w:rFonts w:ascii="Arial" w:cs="Arial" w:eastAsia="Arial" w:hAnsi="Arial"/>
          <w:b/>
          <w:bCs/>
          <w:sz w:val="22"/>
          <w:szCs w:val="22"/>
        </w:rPr>
        <w:t xml:space="preserve">Variant A: </w:t>
      </w:r>
      <w:r>
        <w:rPr>
          <w:rFonts w:ascii="Arial" w:cs="Arial" w:eastAsia="Arial" w:hAnsi="Arial"/>
          <w:sz w:val="22"/>
          <w:szCs w:val="22"/>
        </w:rPr>
        <w:t xml:space="preserve">Rebuild Mamba layers at uniform d16. Reinitialize from Step 3 weights. Distill for 2000–5000 steps.</w:t>
      </w:r>
    </w:p>
    <w:p>
      <w:pPr>
        <w:spacing w:after="120"/>
      </w:pPr>
      <w:r>
        <w:rPr>
          <w:rFonts w:ascii="Arial" w:cs="Arial" w:eastAsia="Arial" w:hAnsi="Arial"/>
          <w:b/>
          <w:bCs/>
          <w:sz w:val="22"/>
          <w:szCs w:val="22"/>
        </w:rPr>
        <w:t xml:space="preserve">Variant B: </w:t>
      </w:r>
      <w:r>
        <w:rPr>
          <w:rFonts w:ascii="Arial" w:cs="Arial" w:eastAsia="Arial" w:hAnsi="Arial"/>
          <w:sz w:val="22"/>
          <w:szCs w:val="22"/>
        </w:rPr>
        <w:t xml:space="preserve">Expand all Mamba layers to d64. Pad B/C projections with small random values. Distill same steps.</w:t>
      </w:r>
    </w:p>
    <w:p>
      <w:pPr>
        <w:spacing w:after="120"/>
      </w:pPr>
      <w:r>
        <w:rPr>
          <w:rFonts w:ascii="Arial" w:cs="Arial" w:eastAsia="Arial" w:hAnsi="Arial"/>
          <w:b/>
          <w:bCs/>
          <w:sz w:val="22"/>
          <w:szCs w:val="22"/>
        </w:rPr>
        <w:t xml:space="preserve">Variant C: </w:t>
      </w:r>
      <w:r>
        <w:rPr>
          <w:rFonts w:ascii="Arial" w:cs="Arial" w:eastAsia="Arial" w:hAnsi="Arial"/>
          <w:sz w:val="22"/>
          <w:szCs w:val="22"/>
        </w:rPr>
        <w:t xml:space="preserve">Split 18 layers into 6×d16 + 6×d64 + 6×d128. Initialize from Step 3 + padding. Distill same steps.</w:t>
      </w:r>
    </w:p>
    <w:p>
      <w:pPr>
        <w:spacing w:after="120"/>
      </w:pPr>
      <w:r>
        <w:rPr>
          <w:rFonts w:ascii="Arial" w:cs="Arial" w:eastAsia="Arial" w:hAnsi="Arial"/>
          <w:b/>
          <w:bCs/>
          <w:sz w:val="22"/>
          <w:szCs w:val="22"/>
        </w:rPr>
        <w:t xml:space="preserve">Variant D: </w:t>
      </w:r>
      <w:r>
        <w:rPr>
          <w:rFonts w:ascii="Arial" w:cs="Arial" w:eastAsia="Arial" w:hAnsi="Arial"/>
          <w:sz w:val="22"/>
          <w:szCs w:val="22"/>
        </w:rPr>
        <w:t xml:space="preserve">Apply the 9-step gradient (d16→d256). Initialize β=0. Add β as learnable parameter. Apply graduated sequence lengths: first 500 steps at 512 tokens, then increase to 2048. Distill same total steps.</w:t>
      </w:r>
    </w:p>
    <w:p>
      <w:pPr>
        <w:pStyle w:val="Heading2"/>
      </w:pPr>
      <w:r>
        <w:t xml:space="preserve">7.6 Three Success Criteria (All Must Pass)</w:t>
      </w:r>
    </w:p>
    <w:p>
      <w:pPr>
        <w:spacing w:after="120"/>
      </w:pPr>
      <w:r>
        <w:rPr>
          <w:rFonts w:ascii="Arial" w:cs="Arial" w:eastAsia="Arial" w:hAnsi="Arial"/>
          <w:b/>
          <w:bCs/>
          <w:sz w:val="22"/>
          <w:szCs w:val="22"/>
        </w:rPr>
        <w:t xml:space="preserve">The gradient is worth $280–489 at 9B scale ONLY if all three pass:</w:t>
      </w:r>
    </w:p>
    <w:p>
      <w:pPr>
        <w:spacing w:after="60"/>
      </w:pPr>
    </w:p>
    <w:p>
      <w:pPr>
        <w:pStyle w:val="Heading3"/>
      </w:pPr>
      <w:r>
        <w:t xml:space="preserve">Criterion 1: Benchmark Superiority</w:t>
      </w:r>
    </w:p>
    <w:p>
      <w:pPr>
        <w:spacing w:after="120"/>
      </w:pPr>
      <w:r>
        <w:rPr>
          <w:rFonts w:ascii="Arial" w:cs="Arial" w:eastAsia="Arial" w:hAnsi="Arial"/>
          <w:sz w:val="22"/>
          <w:szCs w:val="22"/>
        </w:rPr>
        <w:t xml:space="preserve">Variant D outperforms A and B on HumanEval pass@1 and MBPP pass@1. If uniform d64 (B) matches the gradient (D), the differentiation isn’t helping—just more capacity uniformly. Minimum required: D beats B by ≥2 percentage points on at least one benchmark.</w:t>
      </w:r>
    </w:p>
    <w:p>
      <w:pPr>
        <w:pStyle w:val="Heading3"/>
      </w:pPr>
      <w:r>
        <w:t xml:space="preserve">Criterion 2: β Learns Non-Trivial Value</w:t>
      </w:r>
    </w:p>
    <w:p>
      <w:pPr>
        <w:spacing w:after="120"/>
      </w:pPr>
      <w:r>
        <w:rPr>
          <w:rFonts w:ascii="Arial" w:cs="Arial" w:eastAsia="Arial" w:hAnsi="Arial"/>
          <w:sz w:val="22"/>
          <w:szCs w:val="22"/>
        </w:rPr>
        <w:t xml:space="preserve">After training variant D, report β’s final learned value.</w:t>
      </w:r>
    </w:p>
    <w:p>
      <w:pPr>
        <w:spacing w:after="120"/>
      </w:pPr>
      <w:r>
        <w:rPr>
          <w:rFonts w:ascii="Arial" w:cs="Arial" w:eastAsia="Arial" w:hAnsi="Arial"/>
          <w:b/>
          <w:bCs/>
          <w:sz w:val="22"/>
          <w:szCs w:val="22"/>
        </w:rPr>
        <w:t xml:space="preserve">β &lt; 0.05: </w:t>
      </w:r>
      <w:r>
        <w:rPr>
          <w:rFonts w:ascii="Arial" w:cs="Arial" w:eastAsia="Arial" w:hAnsi="Arial"/>
          <w:sz w:val="22"/>
          <w:szCs w:val="22"/>
        </w:rPr>
        <w:t xml:space="preserve">FAIL. Model found uniform decay optimal. The gradient adds compute for no benefit. Skip Phase 2c.</w:t>
      </w:r>
    </w:p>
    <w:p>
      <w:pPr>
        <w:spacing w:after="120"/>
      </w:pPr>
      <w:r>
        <w:rPr>
          <w:rFonts w:ascii="Arial" w:cs="Arial" w:eastAsia="Arial" w:hAnsi="Arial"/>
          <w:b/>
          <w:bCs/>
          <w:sz w:val="22"/>
          <w:szCs w:val="22"/>
        </w:rPr>
        <w:t xml:space="preserve">β = 0.05–0.15: </w:t>
      </w:r>
      <w:r>
        <w:rPr>
          <w:rFonts w:ascii="Arial" w:cs="Arial" w:eastAsia="Arial" w:hAnsi="Arial"/>
          <w:sz w:val="22"/>
          <w:szCs w:val="22"/>
        </w:rPr>
        <w:t xml:space="preserve">MARGINAL. Mild specialization. Phase 2c may help at larger scale but is risky.</w:t>
      </w:r>
    </w:p>
    <w:p>
      <w:pPr>
        <w:spacing w:after="120"/>
      </w:pPr>
      <w:r>
        <w:rPr>
          <w:rFonts w:ascii="Arial" w:cs="Arial" w:eastAsia="Arial" w:hAnsi="Arial"/>
          <w:b/>
          <w:bCs/>
          <w:sz w:val="22"/>
          <w:szCs w:val="22"/>
        </w:rPr>
        <w:t xml:space="preserve">β = 0.15–0.40: </w:t>
      </w:r>
      <w:r>
        <w:rPr>
          <w:rFonts w:ascii="Arial" w:cs="Arial" w:eastAsia="Arial" w:hAnsi="Arial"/>
          <w:sz w:val="22"/>
          <w:szCs w:val="22"/>
        </w:rPr>
        <w:t xml:space="preserve">PASS. Meaningful temporal differentiation discovered. Proceed to Phase 2c.</w:t>
      </w:r>
    </w:p>
    <w:p>
      <w:pPr>
        <w:spacing w:after="120"/>
      </w:pPr>
      <w:r>
        <w:rPr>
          <w:rFonts w:ascii="Arial" w:cs="Arial" w:eastAsia="Arial" w:hAnsi="Arial"/>
          <w:b/>
          <w:bCs/>
          <w:sz w:val="22"/>
          <w:szCs w:val="22"/>
        </w:rPr>
        <w:t xml:space="preserve">β &gt; 0.40: </w:t>
      </w:r>
      <w:r>
        <w:rPr>
          <w:rFonts w:ascii="Arial" w:cs="Arial" w:eastAsia="Arial" w:hAnsi="Arial"/>
          <w:sz w:val="22"/>
          <w:szCs w:val="22"/>
        </w:rPr>
        <w:t xml:space="preserve">STRONG PASS. Aggressive specialization. The gradient is highly effective.</w:t>
      </w:r>
    </w:p>
    <w:p>
      <w:pPr>
        <w:pStyle w:val="Heading3"/>
      </w:pPr>
      <w:r>
        <w:t xml:space="preserve">Criterion 3: Layer Specialization on Recall Probes</w:t>
      </w:r>
    </w:p>
    <w:p>
      <w:pPr>
        <w:spacing w:after="120"/>
      </w:pPr>
      <w:r>
        <w:rPr>
          <w:rFonts w:ascii="Arial" w:cs="Arial" w:eastAsia="Arial" w:hAnsi="Arial"/>
          <w:sz w:val="22"/>
          <w:szCs w:val="22"/>
        </w:rPr>
        <w:t xml:space="preserve">Feed variant D a 4K+ token sequence (concatenated code files). Then ask questions about content at different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Probe</w:t>
            </w:r>
          </w:p>
        </w:tc>
        <w:tc>
          <w:tcPr>
            <w:tcW w:type="dxa" w:w="1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Content From</w:t>
            </w:r>
          </w:p>
        </w:tc>
        <w:tc>
          <w:tcPr>
            <w:tcW w:type="dxa" w:w="2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Expected Handler</w:t>
            </w:r>
          </w:p>
        </w:tc>
      </w:tr>
      <w:tr>
        <w:tc>
          <w:tcPr>
            <w:tcW w:type="dxa" w:w="2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Variable name recall</w:t>
            </w:r>
          </w:p>
        </w:tc>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Last 100 tokens</w:t>
            </w:r>
          </w:p>
        </w:tc>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 1–3 (shallow, d16–32)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Function signature recall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Last 500 tokens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 3–5 (d32–64)</w:t>
            </w:r>
          </w:p>
        </w:tc>
      </w:tr>
      <w:tr>
        <w:tc>
          <w:tcPr>
            <w:tcW w:type="dxa" w:w="2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Module structure recall</w:t>
            </w:r>
          </w:p>
        </w:tc>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~2000 tokens ago</w:t>
            </w:r>
          </w:p>
        </w:tc>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 5–7 (d64–128)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Architecture pattern recall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~4000 tokens ago (start)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Steps 7–9 (d128–256)</w:t>
            </w:r>
          </w:p>
        </w:tc>
      </w:tr>
    </w:tbl>
    <w:p>
      <w:pPr>
        <w:spacing w:after="60"/>
      </w:pPr>
    </w:p>
    <w:p>
      <w:pPr>
        <w:spacing w:after="120"/>
      </w:pPr>
      <w:r>
        <w:rPr>
          <w:rFonts w:ascii="Arial" w:cs="Arial" w:eastAsia="Arial" w:hAnsi="Arial"/>
          <w:sz w:val="22"/>
          <w:szCs w:val="22"/>
        </w:rPr>
        <w:t xml:space="preserve">Run the same probes on variants A and B as controls. If variant D shows depth-dependent accuracy (shallow layers better at recent recall, deep layers better at distant recall) while A and B show flat accuracy across depths, the gradient is specializing.</w:t>
      </w:r>
    </w:p>
    <w:p>
      <w:pPr>
        <w:pStyle w:val="Heading2"/>
      </w:pPr>
      <w:r>
        <w:t xml:space="preserve">7.7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c>
          <w:tcPr>
            <w:tcW w:type="dxa" w:w="1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Criterion 1</w:t>
            </w:r>
          </w:p>
        </w:tc>
        <w:tc>
          <w:tcPr>
            <w:tcW w:type="dxa" w:w="1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Criterion 2</w:t>
            </w:r>
          </w:p>
        </w:tc>
        <w:tc>
          <w:tcPr>
            <w:tcW w:type="dxa" w:w="1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Criterion 3</w:t>
            </w:r>
          </w:p>
        </w:tc>
        <w:tc>
          <w:tcPr>
            <w:tcW w:type="dxa" w:w="57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Decision</w:t>
            </w:r>
          </w:p>
        </w:tc>
      </w:tr>
      <w:tr>
        <w:tc>
          <w:tcPr>
            <w:tcW w:type="dxa" w:w="1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Pass</w:t>
            </w:r>
          </w:p>
        </w:tc>
        <w:tc>
          <w:tcPr>
            <w:tcW w:type="dxa" w:w="1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Pass</w:t>
            </w:r>
          </w:p>
        </w:tc>
        <w:tc>
          <w:tcPr>
            <w:tcW w:type="dxa" w:w="1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Pass</w:t>
            </w:r>
          </w:p>
        </w:tc>
        <w:tc>
          <w:tcPr>
            <w:tcW w:type="dxa" w:w="57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PROCEED to Phase 2c at 9B scale. Spend $280–489.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Proceed cautiously. Gradient helps quality but may not specialize temporally.</w:t>
            </w:r>
          </w:p>
        </w:tc>
      </w:tr>
      <w:tr>
        <w:tc>
          <w:tcPr>
            <w:tcW w:type="dxa" w:w="1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Pass</w:t>
            </w:r>
          </w:p>
        </w:tc>
        <w:tc>
          <w:tcPr>
            <w:tcW w:type="dxa" w:w="1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Fail</w:t>
            </w:r>
          </w:p>
        </w:tc>
        <w:tc>
          <w:tcPr>
            <w:tcW w:type="dxa" w:w="1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Any</w:t>
            </w:r>
          </w:p>
        </w:tc>
        <w:tc>
          <w:tcPr>
            <w:tcW w:type="dxa" w:w="57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SKIP Phase 2c. Use uniform large d_state. Save $280–489.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Any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SKIP Phase 2c. Use three-tier or uniform. Save $280–489.</w:t>
            </w:r>
          </w:p>
        </w:tc>
      </w:tr>
    </w:tbl>
    <w:p>
      <w:pPr>
        <w:pStyle w:val="Heading2"/>
      </w:pPr>
      <w:r>
        <w:t xml:space="preserve">7.8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c>
          <w:tcPr>
            <w:tcW w:type="dxa" w:w="35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Hours (Colab T4)</w:t>
            </w:r>
          </w:p>
        </w:tc>
        <w:tc>
          <w:tcPr>
            <w:tcW w:type="dxa" w:w="42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Day</w:t>
            </w:r>
          </w:p>
        </w:tc>
      </w:tr>
      <w:tr>
        <w:tc>
          <w:tcPr>
            <w:tcW w:type="dxa" w:w="3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Rebuild + distill Variant A</w:t>
            </w:r>
          </w:p>
        </w:tc>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~2–3</w:t>
            </w:r>
          </w:p>
        </w:tc>
        <w:tc>
          <w:tcPr>
            <w:tcW w:type="dxa" w:w="4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Rebuild + distill Variant 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1–2</w:t>
            </w:r>
          </w:p>
        </w:tc>
      </w:tr>
      <w:tr>
        <w:tc>
          <w:tcPr>
            <w:tcW w:type="dxa" w:w="3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Rebuild + distill Variant C</w:t>
            </w:r>
          </w:p>
        </w:tc>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~3–4</w:t>
            </w:r>
          </w:p>
        </w:tc>
        <w:tc>
          <w:tcPr>
            <w:tcW w:type="dxa" w:w="4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Rebuild + distill Variant D (gradient + 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~4–6</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2–3</w:t>
            </w:r>
          </w:p>
        </w:tc>
      </w:tr>
      <w:tr>
        <w:tc>
          <w:tcPr>
            <w:tcW w:type="dxa" w:w="3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Evaluate all + recall probes</w:t>
            </w:r>
          </w:p>
        </w:tc>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w:t>
            </w:r>
          </w:p>
        </w:tc>
        <w:tc>
          <w:tcPr>
            <w:tcW w:type="dxa" w:w="42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~14–19 hours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2–3 days, $0</w:t>
            </w:r>
          </w:p>
        </w:tc>
      </w:tr>
    </w:tbl>
    <w:p>
      <w:pPr>
        <w:pStyle w:val="Heading1"/>
      </w:pPr>
      <w:r>
        <w:t xml:space="preserve">8. Step 5: GGUF Export (Laptop)</w:t>
      </w:r>
    </w:p>
    <w:p>
      <w:pPr>
        <w:pStyle w:val="Heading2"/>
      </w:pPr>
      <w:r>
        <w:t xml:space="preserve">8.1 Objective</w:t>
      </w:r>
    </w:p>
    <w:p>
      <w:pPr>
        <w:spacing w:after="120"/>
      </w:pPr>
      <w:r>
        <w:rPr>
          <w:rFonts w:ascii="Arial" w:cs="Arial" w:eastAsia="Arial" w:hAnsi="Arial"/>
          <w:sz w:val="22"/>
          <w:szCs w:val="22"/>
        </w:rPr>
        <w:t xml:space="preserve">Prove the deployment path exists. Convert the best variant from Step 4 to GGUF format and run it in llama.cpp. If the hybrid architecture can’t be exported, the full 9B model has a deployment problem you need to solve before spending money.</w:t>
      </w:r>
    </w:p>
    <w:p>
      <w:pPr>
        <w:pStyle w:val="Heading2"/>
      </w:pPr>
      <w:r>
        <w:t xml:space="preserve">8.2 Current State of Hybrid GGUF Support</w:t>
      </w:r>
    </w:p>
    <w:p>
      <w:pPr>
        <w:spacing w:after="120"/>
      </w:pPr>
      <w:r>
        <w:rPr>
          <w:rFonts w:ascii="Arial" w:cs="Arial" w:eastAsia="Arial" w:hAnsi="Arial"/>
          <w:sz w:val="22"/>
          <w:szCs w:val="22"/>
        </w:rPr>
        <w:t xml:space="preserve">llama.cpp already supports hybrid Mamba-2/Transformer models (Nemotron-H architecture, merged via PR #9126). The key question is whether variable d_state across layers is handled. Current code assumes uniform d_state. For this test, start with the uniform variant (B) which has uniform d64 and should export cleanly.</w:t>
      </w:r>
    </w:p>
    <w:p>
      <w:pPr>
        <w:pStyle w:val="Heading2"/>
      </w:pPr>
      <w:r>
        <w:t xml:space="preserve">8.3 Procedure</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Save the best uniform variant (likely B) as HuggingFace safetensors.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Clone llama.cpp. Run convert_hf_to_gguf.py on the saved model.</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If conversion succeeds: run inference with llama-cli. Verify the model produces coherent output.</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If conversion fails: examine the error. Likely cause: unrecognized architecture type. Solution: add a custom model handler in the converter that maps the hybrid architecture to the nemotron_h pattern.</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Optionally: attempt export of the gradient variant (D). If variable d_state fails, document the specific error. This tells you exactly what llama.cpp patch is needed for the 9B gradient model.</w:t>
      </w:r>
    </w:p>
    <w:p>
      <w:pPr>
        <w:pStyle w:val="Heading2"/>
      </w:pPr>
      <w:r>
        <w:t xml:space="preserve">8.4 Possible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Outcome</w:t>
            </w:r>
          </w:p>
        </w:tc>
        <w:tc>
          <w:tcPr>
            <w:tcW w:type="dxa" w:w="68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Implication for Chimera</w:t>
            </w:r>
          </w:p>
        </w:tc>
      </w:tr>
      <w:tr>
        <w:tc>
          <w:tcPr>
            <w:tcW w:type="dxa" w:w="2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Uniform variant exports + runs</w:t>
            </w:r>
          </w:p>
        </w:tc>
        <w:tc>
          <w:tcPr>
            <w:tcW w:type="dxa" w:w="68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Deployment path confirmed. Three-tier and gradient may need patches.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Uniform variant exports but crashes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Inference code needs fix (likely Mamba state allocation). Targeted patch.</w:t>
            </w:r>
          </w:p>
        </w:tc>
      </w:tr>
      <w:tr>
        <w:tc>
          <w:tcPr>
            <w:tcW w:type="dxa" w:w="2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Conversion fails entirely</w:t>
            </w:r>
          </w:p>
        </w:tc>
        <w:tc>
          <w:tcPr>
            <w:tcW w:type="dxa" w:w="68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Need custom converter. More work but tractable. Ship BF16 safetensors as interim.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Gradient variant exports + runs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Best case. Full pipeline proven end-to-end. Rare but possible.</w:t>
            </w:r>
          </w:p>
        </w:tc>
      </w:tr>
    </w:tbl>
    <w:p>
      <w:pPr>
        <w:pStyle w:val="Heading2"/>
      </w:pPr>
      <w:r>
        <w:t xml:space="preserve">8.5 Duration &amp; Output</w:t>
      </w:r>
    </w:p>
    <w:p>
      <w:pPr>
        <w:spacing w:after="120"/>
      </w:pPr>
      <w:r>
        <w:rPr>
          <w:rFonts w:ascii="Arial" w:cs="Arial" w:eastAsia="Arial" w:hAnsi="Arial"/>
          <w:sz w:val="22"/>
          <w:szCs w:val="22"/>
        </w:rPr>
        <w:t xml:space="preserve">2–4 hours. Output: confirmed GGUF deployment path (or documented blockers with specific error messages).</w:t>
      </w:r>
    </w:p>
    <w:p>
      <w:pPr>
        <w:pStyle w:val="Heading1"/>
      </w:pPr>
      <w:r>
        <w:t xml:space="preserve">9. Complete Ouroboros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1000"/>
        <w:gridCol w:w="3960"/>
      </w:tblGrid>
      <w:tr>
        <w:tc>
          <w:tcPr>
            <w:tcW w:type="dxa" w:w="9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Day</w:t>
            </w:r>
          </w:p>
        </w:tc>
        <w:tc>
          <w:tcPr>
            <w:tcW w:type="dxa" w:w="25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Step</w:t>
            </w:r>
          </w:p>
        </w:tc>
        <w:tc>
          <w:tcPr>
            <w:tcW w:type="dxa" w:w="1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Hardware</w:t>
            </w:r>
          </w:p>
        </w:tc>
        <w:tc>
          <w:tcPr>
            <w:tcW w:type="dxa" w:w="1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Duration</w:t>
            </w:r>
          </w:p>
        </w:tc>
        <w:tc>
          <w:tcPr>
            <w:tcW w:type="dxa" w:w="39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Key Output</w:t>
            </w:r>
          </w:p>
        </w:tc>
      </w:tr>
      <w:tr>
        <w:tc>
          <w:tcPr>
            <w:tcW w:type="dxa" w:w="9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1</w:t>
            </w:r>
          </w:p>
        </w:tc>
        <w:tc>
          <w:tcPr>
            <w:tcW w:type="dxa" w:w="2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1: Pythia conversion</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Laptop CPU</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 hr</w:t>
            </w:r>
          </w:p>
        </w:tc>
        <w:tc>
          <w:tcPr>
            <w:tcW w:type="dxa" w:w="39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Scaffold works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2: Qwen 0.5B conversion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Colab T4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 hr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Qwen + GQA + real Mamba works</w:t>
            </w:r>
          </w:p>
        </w:tc>
      </w:tr>
      <w:tr>
        <w:tc>
          <w:tcPr>
            <w:tcW w:type="dxa" w:w="9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1–2</w:t>
            </w:r>
          </w:p>
        </w:tc>
        <w:tc>
          <w:tcPr>
            <w:tcW w:type="dxa" w:w="2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3: Distillation from 3B</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Colab T4</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~3–6 hr</w:t>
            </w:r>
          </w:p>
        </w:tc>
        <w:tc>
          <w:tcPr>
            <w:tcW w:type="dxa" w:w="39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Training loop works, model improves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2–4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4: Gradient experiment (4 variants)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Colab T4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~14–19 hr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Go/no-go for d_state gradient</w:t>
            </w:r>
          </w:p>
        </w:tc>
      </w:tr>
      <w:tr>
        <w:tc>
          <w:tcPr>
            <w:tcW w:type="dxa" w:w="9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Day 4–5</w:t>
            </w:r>
          </w:p>
        </w:tc>
        <w:tc>
          <w:tcPr>
            <w:tcW w:type="dxa" w:w="25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Step 5: GGUF export</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Laptop</w:t>
            </w:r>
          </w:p>
        </w:tc>
        <w:tc>
          <w:tcPr>
            <w:tcW w:type="dxa" w:w="1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~2–4 hr</w:t>
            </w:r>
          </w:p>
        </w:tc>
        <w:tc>
          <w:tcPr>
            <w:tcW w:type="dxa" w:w="39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Deployment path confirmed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All 5 steps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Free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~22–32 hours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Every concept empirically validated</w:t>
            </w:r>
          </w:p>
        </w:tc>
      </w:tr>
    </w:tbl>
    <w:p>
      <w:pPr>
        <w:pStyle w:val="Heading1"/>
      </w:pPr>
      <w:r>
        <w:t xml:space="preserve">10. Deliverables</w:t>
      </w:r>
    </w:p>
    <w:p>
      <w:pPr>
        <w:spacing w:after="120"/>
      </w:pPr>
      <w:r>
        <w:rPr>
          <w:rFonts w:ascii="Arial" w:cs="Arial" w:eastAsia="Arial" w:hAnsi="Arial"/>
          <w:sz w:val="22"/>
          <w:szCs w:val="22"/>
        </w:rPr>
        <w:t xml:space="preserve">At the end of Ouroboros, you have:</w:t>
      </w:r>
    </w:p>
    <w:p>
      <w:pPr>
        <w:spacing w:after="120"/>
      </w:pPr>
      <w:r>
        <w:rPr>
          <w:rFonts w:ascii="Arial" w:cs="Arial" w:eastAsia="Arial" w:hAnsi="Arial"/>
          <w:b/>
          <w:bCs/>
          <w:sz w:val="22"/>
          <w:szCs w:val="22"/>
        </w:rPr>
        <w:t xml:space="preserve">1. HybridChimeraModel class: </w:t>
      </w:r>
      <w:r>
        <w:rPr>
          <w:rFonts w:ascii="Arial" w:cs="Arial" w:eastAsia="Arial" w:hAnsi="Arial"/>
          <w:sz w:val="22"/>
          <w:szCs w:val="22"/>
        </w:rPr>
        <w:t xml:space="preserve">Tested on Pythia and Qwen. Handles MHA, GQA, fused/separate QKV. Reusable for 9B.</w:t>
      </w:r>
    </w:p>
    <w:p>
      <w:pPr>
        <w:spacing w:after="120"/>
      </w:pPr>
      <w:r>
        <w:rPr>
          <w:rFonts w:ascii="Arial" w:cs="Arial" w:eastAsia="Arial" w:hAnsi="Arial"/>
          <w:b/>
          <w:bCs/>
          <w:sz w:val="22"/>
          <w:szCs w:val="22"/>
        </w:rPr>
        <w:t xml:space="preserve">2. DistillationTrainer: </w:t>
      </w:r>
      <w:r>
        <w:rPr>
          <w:rFonts w:ascii="Arial" w:cs="Arial" w:eastAsia="Arial" w:hAnsi="Arial"/>
          <w:sz w:val="22"/>
          <w:szCs w:val="22"/>
        </w:rPr>
        <w:t xml:space="preserve">KL divergence, temperature scaling, gradient accumulation, checkpointing. Tested end-to-end.</w:t>
      </w:r>
    </w:p>
    <w:p>
      <w:pPr>
        <w:spacing w:after="120"/>
      </w:pPr>
      <w:r>
        <w:rPr>
          <w:rFonts w:ascii="Arial" w:cs="Arial" w:eastAsia="Arial" w:hAnsi="Arial"/>
          <w:b/>
          <w:bCs/>
          <w:sz w:val="22"/>
          <w:szCs w:val="22"/>
        </w:rPr>
        <w:t xml:space="preserve">3. Gradient + β implementation: </w:t>
      </w:r>
      <w:r>
        <w:rPr>
          <w:rFonts w:ascii="Arial" w:cs="Arial" w:eastAsia="Arial" w:hAnsi="Arial"/>
          <w:sz w:val="22"/>
          <w:szCs w:val="22"/>
        </w:rPr>
        <w:t xml:space="preserve">Variable d_state per layer with learnable decay control. Tested at 0.5B.</w:t>
      </w:r>
    </w:p>
    <w:p>
      <w:pPr>
        <w:spacing w:after="120"/>
      </w:pPr>
      <w:r>
        <w:rPr>
          <w:rFonts w:ascii="Arial" w:cs="Arial" w:eastAsia="Arial" w:hAnsi="Arial"/>
          <w:b/>
          <w:bCs/>
          <w:sz w:val="22"/>
          <w:szCs w:val="22"/>
        </w:rPr>
        <w:t xml:space="preserve">4. Empirical data: </w:t>
      </w:r>
      <w:r>
        <w:rPr>
          <w:rFonts w:ascii="Arial" w:cs="Arial" w:eastAsia="Arial" w:hAnsi="Arial"/>
          <w:sz w:val="22"/>
          <w:szCs w:val="22"/>
        </w:rPr>
        <w:t xml:space="preserve">Benchmark scores, β value, recall probe results for four variants. Go/no-go decision with numbers.</w:t>
      </w:r>
    </w:p>
    <w:p>
      <w:pPr>
        <w:spacing w:after="120"/>
      </w:pPr>
      <w:r>
        <w:rPr>
          <w:rFonts w:ascii="Arial" w:cs="Arial" w:eastAsia="Arial" w:hAnsi="Arial"/>
          <w:b/>
          <w:bCs/>
          <w:sz w:val="22"/>
          <w:szCs w:val="22"/>
        </w:rPr>
        <w:t xml:space="preserve">5. GGUF export status: </w:t>
      </w:r>
      <w:r>
        <w:rPr>
          <w:rFonts w:ascii="Arial" w:cs="Arial" w:eastAsia="Arial" w:hAnsi="Arial"/>
          <w:sz w:val="22"/>
          <w:szCs w:val="22"/>
        </w:rPr>
        <w:t xml:space="preserve">Confirmed working or documented blockers with specific errors.</w:t>
      </w:r>
    </w:p>
    <w:p>
      <w:pPr>
        <w:spacing w:after="120"/>
      </w:pPr>
      <w:r>
        <w:rPr>
          <w:rFonts w:ascii="Arial" w:cs="Arial" w:eastAsia="Arial" w:hAnsi="Arial"/>
          <w:b/>
          <w:bCs/>
          <w:sz w:val="22"/>
          <w:szCs w:val="22"/>
        </w:rPr>
        <w:t xml:space="preserve">6. Reusable scaffold: </w:t>
      </w:r>
      <w:r>
        <w:rPr>
          <w:rFonts w:ascii="Arial" w:cs="Arial" w:eastAsia="Arial" w:hAnsi="Arial"/>
          <w:sz w:val="22"/>
          <w:szCs w:val="22"/>
        </w:rPr>
        <w:t xml:space="preserve">The exact same codebase scales to 9B by changing config files and GPU.</w:t>
      </w:r>
    </w:p>
    <w:p>
      <w:pPr>
        <w:pStyle w:val="Heading1"/>
      </w:pPr>
      <w:r>
        <w:t xml:space="preserve">11. The Decision Point</w:t>
      </w:r>
    </w:p>
    <w:p>
      <w:pPr>
        <w:spacing w:after="120"/>
      </w:pPr>
      <w:r>
        <w:rPr>
          <w:rFonts w:ascii="Arial" w:cs="Arial" w:eastAsia="Arial" w:hAnsi="Arial"/>
          <w:sz w:val="22"/>
          <w:szCs w:val="22"/>
        </w:rPr>
        <w:t xml:space="preserve">After Ouroboros completes, you face one of three paths:</w:t>
      </w:r>
    </w:p>
    <w:p>
      <w:pPr>
        <w:spacing w:after="60"/>
      </w:pPr>
    </w:p>
    <w:p>
      <w:pPr>
        <w:pStyle w:val="Heading2"/>
      </w:pPr>
      <w:r>
        <w:t xml:space="preserve">Path A: Full Chimera with Gradient ($1,150–$2,298)</w:t>
      </w:r>
    </w:p>
    <w:p>
      <w:pPr>
        <w:spacing w:after="120"/>
      </w:pPr>
      <w:r>
        <w:rPr>
          <w:rFonts w:ascii="Arial" w:cs="Arial" w:eastAsia="Arial" w:hAnsi="Arial"/>
          <w:sz w:val="22"/>
          <w:szCs w:val="22"/>
        </w:rPr>
        <w:t xml:space="preserve">All three criteria passed. The gradient specializes. Proceed to Lambda with the full 15-step spec: Phase 1–2 (SISO distillation) → Phase 2b (three-tier) → Phase 2c (15-step gradient + β) → Phase 3 (SFT) → Phase 4 (RLVR). Ship the gradient model with 124MB persistent state.</w:t>
      </w:r>
    </w:p>
    <w:p>
      <w:pPr>
        <w:pStyle w:val="Heading2"/>
      </w:pPr>
      <w:r>
        <w:t xml:space="preserve">Path B: Chimera Without Gradient ($870–$1,809)</w:t>
      </w:r>
    </w:p>
    <w:p>
      <w:pPr>
        <w:spacing w:after="120"/>
      </w:pPr>
      <w:r>
        <w:rPr>
          <w:rFonts w:ascii="Arial" w:cs="Arial" w:eastAsia="Arial" w:hAnsi="Arial"/>
          <w:sz w:val="22"/>
          <w:szCs w:val="22"/>
        </w:rPr>
        <w:t xml:space="preserve">Gradient didn’t specialize (criteria 1 or 2 failed). Skip Phase 2c, saving $280–489. Proceed with the three-tier model (51MB state) or even uniform large d_state. Still a novel model with persistent state—just without the gradient.</w:t>
      </w:r>
    </w:p>
    <w:p>
      <w:pPr>
        <w:pStyle w:val="Heading2"/>
      </w:pPr>
      <w:r>
        <w:t xml:space="preserve">Path C: Fundamental Redesign ($0)</w:t>
      </w:r>
    </w:p>
    <w:p>
      <w:pPr>
        <w:spacing w:after="120"/>
      </w:pPr>
      <w:r>
        <w:rPr>
          <w:rFonts w:ascii="Arial" w:cs="Arial" w:eastAsia="Arial" w:hAnsi="Arial"/>
          <w:sz w:val="22"/>
          <w:szCs w:val="22"/>
        </w:rPr>
        <w:t xml:space="preserve">Steps 1–3 failed. Mamba conversion doesn’t work for the Qwen family, or distillation produces unusable quality, or gradient flow through hybrid architecture is broken. Redesign required before any spending. Ouroboros saved you $1,150–$2,298 by catching the problem early.</w:t>
      </w:r>
    </w:p>
    <w:p>
      <w:pPr>
        <w:spacing w:after="60"/>
      </w:pPr>
    </w:p>
    <w:p>
      <w:pPr>
        <w:spacing w:after="120"/>
      </w:pPr>
      <w:r>
        <w:rPr>
          <w:rFonts w:ascii="Arial" w:cs="Arial" w:eastAsia="Arial" w:hAnsi="Arial"/>
          <w:b/>
          <w:bCs/>
          <w:sz w:val="22"/>
          <w:szCs w:val="22"/>
        </w:rPr>
        <w:t xml:space="preserve">In all three cases, Ouroboros was worth the 5 days. In Path A, it provides confidence. In Path B, it saves money. In Path C, it saves all the money.</w:t>
      </w: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Risk</w:t>
            </w:r>
          </w:p>
        </w:tc>
        <w:tc>
          <w:tcPr>
            <w:tcW w:type="dxa" w:w="65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r>
              <w:rPr>
                <w:rFonts w:ascii="Arial" w:cs="Arial" w:eastAsia="Arial" w:hAnsi="Arial"/>
                <w:b/>
                <w:bCs/>
                <w:color w:val="FFFFFF"/>
                <w:sz w:val="19"/>
                <w:szCs w:val="19"/>
              </w:rPr>
              <w:t xml:space="preserve">Mitigation</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Colab disconnects mid-training</w:t>
            </w:r>
          </w:p>
        </w:tc>
        <w:tc>
          <w:tcPr>
            <w:tcW w:type="dxa" w:w="65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Checkpoint every 30 min. Resume from last checkpoint.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T4 VRAM too tight for 3B teacher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Use Qwen2.5-1.5B teacher instead (3x ratio still good).</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mamba-ssm won’t install on Colab</w:t>
            </w:r>
          </w:p>
        </w:tc>
        <w:tc>
          <w:tcPr>
            <w:tcW w:type="dxa" w:w="65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Pin specific version. Use --no-build-isolation. Known working: v2.2.2.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Qwen GQA conversion produces NaN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Debug on the K/V projection size mismatch. Try tiling K weights.</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Gradient experiment is inconclusive</w:t>
            </w:r>
          </w:p>
        </w:tc>
        <w:tc>
          <w:tcPr>
            <w:tcW w:type="dxa" w:w="65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Run for more steps (5000–10000). If still inconclusive, treat as ‘fail’ and skip gradient.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β training is unstable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Clamp β to [0, 1] range. Add small L2 regularization on β.</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GGUF export fails</w:t>
            </w:r>
          </w:p>
        </w:tc>
        <w:tc>
          <w:tcPr>
            <w:tcW w:type="dxa" w:w="65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Document exact error. Plan llama.cpp patch or Python inference fallback.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All 5 steps succeed but results are marginal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Proceed to Lambda with three-tier (safer). Revisit gradient at 9B only.</w:t>
            </w:r>
          </w:p>
        </w:tc>
      </w:tr>
    </w:tbl>
    <w:p>
      <w:pPr>
        <w:spacing w:after="60"/>
      </w:pPr>
    </w:p>
    <w:p>
      <w:pPr>
        <w:pBdr>
          <w:top w:val="single" w:color="4A235A" w:sz="2" w:space="8"/>
        </w:pBdr>
        <w:spacing w:before="400" w:after="200"/>
      </w:pPr>
      <w:r>
        <w:rPr>
          <w:rFonts w:ascii="Arial" w:cs="Arial" w:eastAsia="Arial" w:hAnsi="Arial"/>
          <w:i/>
          <w:iCs/>
          <w:color w:val="555555"/>
          <w:sz w:val="20"/>
          <w:szCs w:val="20"/>
        </w:rPr>
        <w:t xml:space="preserve">Project Ouroboros v1.0 — March 2026. Zero-cost validation pipeline for Project Chimera. Five steps, five days, $0. Proves Mamba conversion, Qwen family compatibility, distillation pipeline, d_state gradient + β specialization, and GGUF deployment. Four-variant head-to-head comparison with three explicit go/no-go criteria. Every novel architectural concept validated empirically before the first dollar is spent on Lambda.ai. The scaffold, code, and trained models from Ouroboros become the foundation for Chimera’s full 9B training run.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Draft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Project Ouroboros v1.0 — Zero-Cost Validation for Project Chimera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235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6C348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6C348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2026-03-30T00:59:01.783Z</dcterms:created>
  <dcterms:modified xsi:type="dcterms:W3CDTF">2026-03-30T00:59:01.784Z</dcterms:modified>
</cp:coreProperties>
</file>

<file path=docProps/custom.xml><?xml version="1.0" encoding="utf-8"?>
<Properties xmlns="http://schemas.openxmlformats.org/officeDocument/2006/custom-properties" xmlns:vt="http://schemas.openxmlformats.org/officeDocument/2006/docPropsVTypes"/>
</file>