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THEATER D: OPERATION GLASS HOUSE (SAYEGH v. SAYEGH)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DESIGNATION: CHILD PROTECTION &amp; ASSET RECOVERY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NO: 25PDFL01441 // 25PDRO01741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MISSION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neutralize the multi-generational criminal network led by Fahed "Freddy" Sayegh, secure the safety of children Mia and Jordan, and execute the relocation to the Coastal Sanctuary.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DOCTRINAL CONSTRAINTS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Judy Principle: Priority on Truth, Safety, and Warmth.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M-033 Firewall: Absolute narrative separation from Theater A (Jones Trust).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M-001 Physics: Audio logs labeled "// Contemporaneous Detailed Notes //".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MONDAY SWARM OBJECTIVES (JAN 12)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Execute Pasadena Hearing (Dept S/L) at 08:30 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Sonoma Drive Incident (Felony Endangerment) to secure CH-116 Extension.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Expose "Hospitalized Counsel" scam as a Rule 3.3 Candor violation.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