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SUBPOENA DUCES TECUM — ATTACHMENT A (LA Beauty Skin Center / Arman F. Karapetyan, M.D.)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(To accompany Judicial Council SUBP‑010 / SUBP‑025)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Production Date/Time: __________ at __________ (or as otherwise ordered). Place of Production: [Designated production portal or counsel address].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Entity: LA Beauty Skin Center / Arman F. Karapetyan, M.D. — [Insert clinic address(es) for LA Beauty Skin Center]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Records to Be Produced (narrowly tailored)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1. Appointment logs/scheduling entries for Petitioner within the authorized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2. Procedure/clinical notes for cosmetic injections (face/lips) including pre‑/post‑procedure observations.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3. Informed consent forms and treatment plans for injections/fillers.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4. Clinical photographs taken in connection with the above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5. Billing statements and CPT/HCPCS codes for the above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Date window: Nov. 3–4, 2023 (and ±7 days if necessary to capture the encounter).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Confidentiality &amp; Protective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This subpoena issues pursuant to CCP § 1985.3 (consumer notice served). Production is subject to the Court’s HIPAA Qualified Protective Order (45 C.F.R. § 164.512(e)) and Protective Order on file. Redact non‑responsive private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 of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Produce as legible PDFs and native image files (if any). Include custodian declaration (Evid. Code § 1561).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