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01:34:43 -0700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REAL ESTATE RETAINER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Patrina Hayes &lt;patrinah3189@yahoo.com&gt;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Re: REAL ESTATE RETAINER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May 22, 2023 at 11:19:18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is unclear where the loan proceeds were used—whether they were used to purchase the property from a trust or for property improvements.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purchased the home from his STEPMOTHER.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was her house.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None of the proceeds from the house was used to purchase or repair the house.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from Yahoo Mail for iPhone &lt;https://mail.onelink.me/107872968?pid=nativeplacement&amp;c=Global_Acquisition_YMktg_315_Internal_EmailSignature&amp;af_sub1=Acquisition&amp;af_sub2=Global_YMktg&amp;af_sub3=&amp;af_sub4=100000604&amp;af_sub5=EmailSignature__Static_&gt;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On Thursday, May 18, 2023, 4:37 PM, Freddy Sayegh &lt;Freddy@thefoxxfirm.com&gt; wrote: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see the following information and attachments.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Property Information: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Address: 2033 E Oris St., Compton, CA 90222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 Patrina Hayes &amp; Willie G Frazier II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Ownership Transfer: It appears that the property was transferred from the Frazier Trust, specifically from Willie's side.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Vesting: The property is held in Joint Tenancy. It is generally beneficial for both parties involved in Joint Tenancy to come to mutually agreeable terms. Otherwise, if no agreement is reached, the court may order a partition, which would require selling the property and incurring court fees.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Loan Information: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loan of $338,000 was taken out on March 2, 2021.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is unclear where the loan proceeds were used—whether they were used to purchase the property from a trust or for property improvements.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Liens and Violations: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There are no other liens on the property, nor are there any code violations, HERO liens, PACE liens, or Solar liens.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Capital Gains Tax: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Since the property has been owner-occupied for over two years, the owners should not have to pay any capital gains tax when selling the property. Please note that tax laws can change over time, so it's always recommended to consult with a tax professional for the most up-to-date information regarding capital gains tax.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See attached Current Market Analysis  and Property Profile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Current value based on what I see that sold from the MLS is approx. $485,000- $520,000.  Depending on the condition of the property and upgrades.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When evaluating the Comparative Market Analysis (CMA), it's important to consider that the sales price heavily relies on the prices of SOLD homes, while the prices of Active/Pending properties have a lighter impact. Additionally, there are other factors that can affect pricing, such as the presence of a new roof, kitchen upgrades, flooring improvements, or a recent overall renovation of the entire home. To provide a more accurate estimate of the home's value, I would need to personally assess the property.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Deed of Trust is in the first PDF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Freddy Sayegh, Esq.</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FOXX FIRM, INC.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407 East Woodbury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Pasadena, California 91001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O/310-877-5033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F/310-895-1180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www.thefoxxfirm.com &lt;http://www.thefoxxfirm.com/&gt;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