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Saturday, November 22, 2025 at 2:22 AM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Bichhanh Bui &lt;hbui@hbuilaw.com&gt;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Nuha Sayegh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Termination of Representation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 Sayegh: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in receipt of your email. It is unfortunate that you feel your matter has not been represented adequately. However, this office, including Ms. Memari, has acted competently and diligently at all times. We categorically deny any allegation of malpractice, negligence, or improper handling of your case.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statements in your email, it is clear that there has been a breakdown in the attorney-client relationship. As a result, this office will no longer be representing you. Please sign the attached Substitution of Attorney. If it is not executed by Monday, my office will be filing a motion to be relieved as counsel. We cannot continue representation when a client makes unfounded accusations or threats toward the firm or its associates.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truly unfortunate that we have reached this point, as our intent has always been to assist you—particularly in light of the history of domestic violence you have endured. Nevertheless, we wish you well moving forward.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Bichhanh (Hannah) Bui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 Attorney, Certified Family Law Specialist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Bui Law Firm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