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EXHIBIT: FL-150 INCOME DECLARATION ANALYSIS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jc w:val="center"/>
        <w:rPr/>
      </w:pPr>
      <w:r w:rsidDel="00000000" w:rsidR="00000000" w:rsidRPr="00000000">
        <w:rPr>
          <w:rtl w:val="0"/>
        </w:rPr>
        <w:t xml:space="preserve">Case No. 25PDFL01441 | Sayegh v. Sayegh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jc w:val="center"/>
        <w:rPr/>
      </w:pPr>
      <w:r w:rsidDel="00000000" w:rsidR="00000000" w:rsidRPr="00000000">
        <w:rPr>
          <w:rtl w:val="0"/>
        </w:rPr>
        <w:t xml:space="preserve">Superior Court of California, County of Los Angeles - Pasadena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Hearing Date: January 6, 2026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0" w:before="160" w:lineRule="auto"/>
        <w:ind w:left="160" w:right="16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RESPONDENT'S SWORN INCOME vs. DOCUMENTED FINANCIAL ACTIVITY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right="24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240"/>
        <w:jc w:val="righ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FL-150 Declared Income: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2"/>
          <w:szCs w:val="22"/>
          <w:shd w:fill="cccccc" w:val="clear"/>
        </w:rPr>
      </w:pPr>
      <w:r w:rsidDel="00000000" w:rsidR="00000000" w:rsidRPr="00000000">
        <w:rPr>
          <w:b w:val="1"/>
          <w:bCs w:val="1"/>
          <w:sz w:val="22"/>
          <w:szCs w:val="22"/>
          <w:shd w:fill="cccccc" w:val="clear"/>
          <w:rtl w:val="0"/>
        </w:rPr>
        <w:t xml:space="preserve">$8,000/month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right="240"/>
        <w:rPr>
          <w:b w:val="1"/>
          <w:bCs w:val="1"/>
          <w:sz w:val="22"/>
          <w:szCs w:val="22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240"/>
        <w:jc w:val="righ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Documented Bank Flow: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2"/>
          <w:szCs w:val="22"/>
          <w:shd w:fill="666666" w:val="clear"/>
        </w:rPr>
      </w:pPr>
      <w:r w:rsidDel="00000000" w:rsidR="00000000" w:rsidRPr="00000000">
        <w:rPr>
          <w:b w:val="1"/>
          <w:bCs w:val="1"/>
          <w:sz w:val="22"/>
          <w:szCs w:val="22"/>
          <w:shd w:fill="666666" w:val="clear"/>
          <w:rtl w:val="0"/>
        </w:rPr>
        <w:t xml:space="preserve">$48,000/month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right="240"/>
        <w:rPr>
          <w:b w:val="1"/>
          <w:bCs w:val="1"/>
          <w:sz w:val="22"/>
          <w:szCs w:val="22"/>
          <w:shd w:fill="66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240"/>
        <w:jc w:val="righ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Undisclosed Lien: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2"/>
          <w:szCs w:val="22"/>
          <w:shd w:fill="333333" w:val="clear"/>
        </w:rPr>
      </w:pPr>
      <w:r w:rsidDel="00000000" w:rsidR="00000000" w:rsidRPr="00000000">
        <w:rPr>
          <w:b w:val="1"/>
          <w:bCs w:val="1"/>
          <w:sz w:val="22"/>
          <w:szCs w:val="22"/>
          <w:shd w:fill="333333" w:val="clear"/>
          <w:rtl w:val="0"/>
        </w:rPr>
        <w:t xml:space="preserve">$704,000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right="240"/>
        <w:rPr>
          <w:b w:val="1"/>
          <w:bCs w:val="1"/>
          <w:sz w:val="22"/>
          <w:szCs w:val="22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240"/>
        <w:jc w:val="righ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DISCREPANCY: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  <w:highlight w:val="black"/>
        </w:rPr>
      </w:pPr>
      <w:r w:rsidDel="00000000" w:rsidR="00000000" w:rsidRPr="00000000">
        <w:rPr>
          <w:sz w:val="22"/>
          <w:szCs w:val="22"/>
          <w:highlight w:val="black"/>
          <w:rtl w:val="0"/>
        </w:rPr>
        <w:t xml:space="preserve">$696,000 (87x declared)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20" w:lineRule="auto"/>
        <w:ind w:left="2831.999931335449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$0 $200K $400K $600K $800K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40" w:lineRule="auto"/>
        <w:ind w:left="240" w:right="24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25" w:lineRule="auto"/>
        <w:ind w:left="240" w:right="24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MATERIAL DISCREPANCY: 87 TIMES DECLARED INCOME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$696,000 in undisclosed assets | $704,000 lien with zero payments over 13 years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Sworn FL-150 Declaration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Bank Records (Documented)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Undisclosed Obligations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Material Discrepancy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Source:</w:t>
      </w:r>
      <w:r w:rsidDel="00000000" w:rsidR="00000000" w:rsidRPr="00000000">
        <w:rPr>
          <w:sz w:val="20"/>
          <w:szCs w:val="20"/>
          <w:rtl w:val="0"/>
        </w:rPr>
        <w:t xml:space="preserve"> Respondent's FL-150 Income and Expense Declaration; Bank of America account records (2024-2025); Los Angeles County Recorder Document No. [LIEN DOC#]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Respondent:</w:t>
      </w:r>
      <w:r w:rsidDel="00000000" w:rsidR="00000000" w:rsidRPr="00000000">
        <w:rPr>
          <w:sz w:val="20"/>
          <w:szCs w:val="20"/>
          <w:rtl w:val="0"/>
        </w:rPr>
        <w:t xml:space="preserve"> Fahed Sayegh (CA State Bar No. 176293 - Status: Suspended, February 2025)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Page 1 of 1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</w:rPr>
    </w:rPrDefault>
    <w:pPrDefault>
      <w:pPr>
        <w:widowControl w:val="0"/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