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17 Oct 2025 05:33:34 -0700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SAYEGH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reaching out.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we discuss the retainer balance, I'd like to review your strategic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and scope of representation for the next phase of the case. Could you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over: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 written outline of your strategy for the November hearing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updated fee agreement reflecting the scope of work through final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I've had a chance to review, we can schedule a brief call to align 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 and payment.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Oct 16, 2025 at 2:34 PM Kirk Kolodji &lt;Kirk@kolodjifamilylaw.com&gt;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 indicated that you would me paying the rest of the retainer. Are you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able to make a $6,000 payment towards her attorney’s fees. I would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appreciate this very much.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https://secure.lawpay.com/pages/kirkakolodjiesq/trust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Kirk A. Kolodji, Esq.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Kolodji Family Law, PC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35 North Lake Avenue, Suite 710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Pasadena, CA 91101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310-691-9671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www.kolodjifamilylaw.com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opposing counsel on family law cases:  Email KIRK@KOLODJIFAMILYLAW.COM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KIRK.KOLODJI@GMAIL.COM copies of any notice or document that may be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served by mail, express mail, overnight mail or fax.  To all recipients: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email, including all attachments, is sent by a law firm and contains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which may be confidential and/or privileged and is covered by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Electronic Communications Privacy Act.  If you are not the intended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 please delete this email, and be aware that any disclosure,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copying, distribution or use of its contents is prohibited.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