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BAR COMPLAINT EVIDENCE SUMMARY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 (State Bar No. 327031)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Compiled: December 1, 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Compiled by: Eric Brakebill Jones, MSW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Reference: Sayegh v. Sayegh (25PDFL01441)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RESPONDENT ATTORNEY INFORMATION: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Kirk A. Kolodji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 Number: 327031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Firm: Kolodji Family Law, PC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COMPLAINT SUBMITTED TO CA STATE BAR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ALLEGED RULE VIOLATIONS: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RULE 1.4 - Communication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Failed to adequately communicate case status to client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Did not respond to client inquiries in timely manner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RULE 1.5 - Fees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Billing irregularities identified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Fees charged without adequate documentation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Invoice #1143-01 and #1043-02 under review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RULE 4.2 - Communication with Represented Person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Potential improper contact with opposing party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RULE 5.3 - Supervision of Nonlawyers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Sean Kolodji (non-attorney) performed work that may constitute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Unauthorized Practice of Law (UPL)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Client communications handled by non-attorney staff without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proper supervision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FILES LOCATION: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~/Fortress/02-CASES/C5-HBui/evidence/kolodji_correspondence/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 email files documenting attorney-client communications)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EVIDENCE DOCUMENTS: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NS_2025_10_16_Kirk_Kolodji_SAYEGH_2025-11-24.txt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NS_2025_10_17_Kirk_Kolodji_SAYEGH_2025-11-24.txt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State_Bar_Complaint_Draft_2025-11-28.txt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Kirk Kolodji Submitted CA Bar Association Complaint.pdf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 VALUE: $50,000 - $300,000 (estimated)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OBJECTIVE: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Recover fees paid to Kolodji Family Law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 pattern of misconduct for court record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Support Motion for Attorney Fee Disgorgement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COMPLAINT FILED - AWAITING STATE BAR RESPONSE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