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22:26:40 -0700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 Transcript Requests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5:22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 v. Sayegh — Motion for Reconsideration (DVRO) 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talk in the morning. I already mailed the Notice of Lis Pendens, so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 to also email 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4:34 PM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Freddy Sayegh &lt;Freddy@thefoxxfirm.com&gt;; Gilbert Quinones &lt;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gqlaw2004@yahoo.com&gt;; Kirk Kolodji &lt;kirk.kolodji@gmail.com&gt;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FW: Sayegh v. Sayegh — Motion for Reconsideration (DVRO)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sell anything? I don’t need you to do anything for me. I’m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set up things with my father. My heart is being ripped apart nothing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white. I don’t like anything that’s going on right now. Do not send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to Freddie I mean.It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getting way too ugly right now please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worry, you’ll get your attorney fee. I know you want your attorney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the attorney fee. I’ll do a payment plan for your attorney fee now 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handle anything. My heart is going to explode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4:29 PM Nuha Sayegh &lt;nuha@recovery-compass.org&gt;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wait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I said wait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4:27 PM Kirk Kolodji &lt;Kirk@kolodjifamilylaw.com&gt;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Sayegh: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and I announced ready on 10/15/2025. Both of us could have asked for 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continuance, but we both elected to proceed with both restraining orders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day.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new or different facts, circumstances, or law that justify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attached Motion for Reconsideration. As such, I will be requesting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Code section 271 sanctions based on your application which 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merit.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Respondent’s Notice of Intent to Seek Family Code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271 sanctions against Petitioner Fahed Sayegh for any attorney’s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 and costs that Ms. Sayegh incurs in connection with any Motion for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that you file.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10:06 AM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v. Sayegh — Motion for Reconsideration (DVRO) 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Kodoji,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the DVRO hearing on October 15, 2025 (same date I was served), 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a placeholder Motion for Reconsideration under CCP § 1008(a) 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the deadline while I obtain certified transcripts.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status (for transparency):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reporter’s system couldn’t locate the matter under two different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numbers (both requests rejected as “not found”).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 October 23, 2025, I submitted a third transcript request under 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 case number; that request is pending. I’ll forward confirmation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once received.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/ meet &amp; confer: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stipulate to either: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Leave for me to file supplemental points &amp; authorities and exhibits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within 10 court days after transcript receipt; 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A brief continuance with a mutual schedule (supplemental opening ___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after transcript receipt; opposition ___ days thereafter; reply ___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thereafter)?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lodge the [Proposed] Order separately (with EFS-020 cover sheet and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POS) and can provide an editable Word version if the department prefers.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 update / service (please update your list):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 will continue in pro per for all DVRO-related motions and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proceedings (including the reconsideration motion and any supplements).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Please CC me on all communications with counsel and/or the Court regarding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matter.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Fahed “Freddy” Sayegh (In Pro Per for DVRO)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407 E. Woodbury Rd., Altadena, CA 91001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&lt;https://www.google.com/maps/search/407+E.+Woodbury+Rd.,+Altadena,+CA+91001?entry=gmail&amp;source=g&gt;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(310) 877-5033 | freddy@thefoxxfirm.com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 dissolution (divorce) issues will be handled by Gilbert Quiñones,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Esq. Please direct divorce-case communications to: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&lt;https://www.google.com/maps/search/206+S+Stimson+Ave,+La+Puente,+CA+91744+%0D%0A+(626?entry=gmail&amp;source=g&gt;Law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Offices of Gilbert Quiñones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Gilbert Quiñones, Esq. (CA Bar No. 128171)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206 S Stimson Ave, La Puente, CA 91744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(626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937-6320 | (866) 937-6320 (toll-free)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Fax: (626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Email: gqlaw2004@yahoo.com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Website: gqlawyer.net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*www.thealtadena.com* &lt;http://www.thealtadena.com&gt;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