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0" w:right="0" w:firstLine="0"/>
        <w:jc w:val="center"/>
        <w:rPr>
          <w:color w:val="ffffff"/>
          <w:sz w:val="80"/>
          <w:szCs w:val="80"/>
        </w:rPr>
      </w:pPr>
      <w:r w:rsidDel="00000000" w:rsidR="00000000" w:rsidRPr="00000000">
        <w:rPr>
          <w:color w:val="ffffff"/>
          <w:sz w:val="80"/>
          <w:szCs w:val="80"/>
          <w:rtl w:val="0"/>
        </w:rPr>
        <w:t xml:space="preserve">Sayegh v Sayegh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888888"/>
          <w:sz w:val="34"/>
          <w:szCs w:val="34"/>
        </w:rPr>
      </w:pPr>
      <w:r w:rsidDel="00000000" w:rsidR="00000000" w:rsidRPr="00000000">
        <w:rPr>
          <w:color w:val="888888"/>
          <w:sz w:val="34"/>
          <w:szCs w:val="34"/>
          <w:rtl w:val="0"/>
        </w:rPr>
        <w:t xml:space="preserve">DVRO/Divorce Case Dashboard • Los Angeles County Superior Court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color w:val="66666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34"/>
          <w:szCs w:val="34"/>
          <w:rtl w:val="0"/>
        </w:rPr>
        <w:t xml:space="preserve">Loading case intelligence from Supabase...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66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66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450" w:right="45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Case Strength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50" w:right="450" w:firstLine="0"/>
        <w:rPr>
          <w:color w:val="00ff88"/>
          <w:sz w:val="80"/>
          <w:szCs w:val="80"/>
        </w:rPr>
      </w:pPr>
      <w:r w:rsidDel="00000000" w:rsidR="00000000" w:rsidRPr="00000000">
        <w:rPr>
          <w:color w:val="00ff88"/>
          <w:sz w:val="80"/>
          <w:szCs w:val="80"/>
          <w:rtl w:val="0"/>
        </w:rPr>
        <w:t xml:space="preserve">89/100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Post-Discovery Enhancement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450" w:right="45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Financial Disparity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50" w:right="450" w:firstLine="0"/>
        <w:rPr>
          <w:color w:val="ffaa00"/>
          <w:sz w:val="80"/>
          <w:szCs w:val="80"/>
        </w:rPr>
      </w:pPr>
      <w:r w:rsidDel="00000000" w:rsidR="00000000" w:rsidRPr="00000000">
        <w:rPr>
          <w:color w:val="ffaa00"/>
          <w:sz w:val="80"/>
          <w:szCs w:val="80"/>
          <w:rtl w:val="0"/>
        </w:rPr>
        <w:t xml:space="preserve">$48K/mo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Respondent income vs food stamps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450" w:right="45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Knowledge Extracts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50" w:right="450" w:firstLine="0"/>
        <w:rPr>
          <w:color w:val="ffffff"/>
          <w:sz w:val="80"/>
          <w:szCs w:val="80"/>
        </w:rPr>
      </w:pPr>
      <w:r w:rsidDel="00000000" w:rsidR="00000000" w:rsidRPr="00000000">
        <w:rPr>
          <w:color w:val="ffffff"/>
          <w:sz w:val="80"/>
          <w:szCs w:val="80"/>
          <w:rtl w:val="0"/>
        </w:rPr>
        <w:t xml:space="preserve">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Intelligence insights generated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450" w:right="45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Attorney Engagement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50" w:right="450" w:firstLine="0"/>
        <w:rPr>
          <w:color w:val="ffffff"/>
          <w:sz w:val="80"/>
          <w:szCs w:val="80"/>
        </w:rPr>
      </w:pPr>
      <w:r w:rsidDel="00000000" w:rsidR="00000000" w:rsidRPr="00000000">
        <w:rPr>
          <w:color w:val="ffffff"/>
          <w:sz w:val="80"/>
          <w:szCs w:val="80"/>
          <w:rtl w:val="0"/>
        </w:rPr>
        <w:t xml:space="preserve">HBWI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Sara Memari • $7,500 retainer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Intelligence Insights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Rule="auto"/>
        <w:ind w:left="0" w:right="0" w:firstLine="0"/>
        <w:jc w:val="center"/>
        <w:rPr>
          <w:color w:val="555555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555555"/>
          <w:sz w:val="26"/>
          <w:szCs w:val="26"/>
          <w:rtl w:val="0"/>
        </w:rPr>
        <w:t xml:space="preserve">Dashboard auto-populated from Supabase • Last updated: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ntarel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tarell" w:cs="Cantarell" w:eastAsia="Cantarell" w:hAnsi="Cantarell"/>
        <w:color w:val="e0e0e0"/>
        <w:sz w:val="22"/>
        <w:szCs w:val="22"/>
      </w:rPr>
    </w:rPrDefault>
    <w:pPrDefault>
      <w:pPr>
        <w:widowControl w:val="0"/>
        <w:spacing w:after="600" w:before="6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tarell-regular.ttf"/><Relationship Id="rId2" Type="http://schemas.openxmlformats.org/officeDocument/2006/relationships/font" Target="fonts/Cantarell-bold.ttf"/><Relationship Id="rId3" Type="http://schemas.openxmlformats.org/officeDocument/2006/relationships/font" Target="fonts/Cantarell-italic.ttf"/><Relationship Id="rId4" Type="http://schemas.openxmlformats.org/officeDocument/2006/relationships/font" Target="fonts/Cantarel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