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Health Insurance Coverage – Immediate Correction Required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confirmed with Covered California that I did not request termination of our family coverage. Their records show you are listed as the primary account holder with your email (freddy@thefoxxfirm.com) and your Altadena address (1226 Sonoma Dr) on file, not mine.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had no access to terminate coverage and was unaware it had been cancelled until I attempted to obtain medical care.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our joint legal custody order, you cannot make unilateral decisions about family health insurance. The 2026 plan you purchased without my knowledge or consent violates our court order.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also documenting that you have withheld 6-10 months of my unemployment benefits and food stamp allocations that were issued in my name for our children. These are government benefits you had no authority to intercept or withhold.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immediately: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Full 2026 insurance policy documents and coverage details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Confirmation I have co-subscriber access to the account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All withheld unemployment checks from 2025 (approximately 6-10 months)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All withheld food stamp benefits from 2025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be requesting official documentation from Covered California regarding account control and all changes made to our coverage, including who requested the termination.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