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Subject: Income Declaration Discrepancy - FL-150 Review</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Freddy,</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am reviewing your Income and Expense Declaration (FL-150) filed with the court, which states your monthly income as $8,000.</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conflicts with multiple other financial records I have obtained:</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Covered California application (October 2024): Annual income declared as $63,500 ($5,291/month)</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Bank records for Perfected Claims LLC: $191,000 in deposits over 4 months ($47,750/month average)</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Green Holdings Group capital raise documents: $10,000,000 solicitation materials</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ePac Flexibles manufacturing payments: Industrial-scale packaging orders</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California Code of Civil Procedure Section 2015.5 requires declarations under penalty of perjury to be true and correct.</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disparity between your declared income and actual financial capacity has created severe consequences for our children. While you operate multiple business entities generating nearly $50,000 per month, I have been forced to rely on:</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CalFresh (food stamps) for basic groceries</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Medi-Cal for medical coverage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Unemployment benefits to cover housing costs</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Even these minimal government safety-net benefits, you have intercepted and withheld as documented in my previous message. Our children are dependent on Eric Jones for their basic needs (food, housing, medical care) while you control cash flows of $191,000 over four months from a single entity.</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represents economic abuse through systematic impoverishment of your children's primary custodial parent while concealing substantial income from the court.</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am compiling this information for a motion to recalculate child support based on accurate income imputation. Your FL-150 declaration of $8,000/month appears materially false given documented cash flows exceeding $47,000/month.</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may want to consult with Gilbert Quinones about filing an amended FL-150 before I file the motion for sanctions under CCP Section 128.7.</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expect you to correct this discrepancy voluntarily within 7 days.</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