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Financial Records Audit Notice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conducting a comprehensive audit of all financial interactions between us during our marriage and since separation.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identified the following transactions requiring immediate accounting: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WITHHELD GOVERNMENT BENEFITS (2025):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Unemployment insurance payments: 6-10 months (est. $8,000-$12,000)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CalFresh (food stamps): Multiple months intercepted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These benefits were issued in MY name for OUR children's support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UNDISCLOSED BUSINESS INCOME: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Perfected Claims LLC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Green Holdings Group LLC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"Glass House" product line manufacturing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Construction consulting (claimed on FL-150)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 CALIFORNIA FRAUD: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Primary account holder: Your name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Mailing address: 1226 Sonoma Dr, Altadena (your address, not mine)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notifications: freddy@thefoxxfirm.com (under your sole control)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Dependents claimed: Fraudulently listed as YOUR dependents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also obtaining records from: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California Employment Development Department (EDD)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Los Angeles County Department of Public Social Services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United States Postal Service (mail fraud investigation)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Internal Revenue Service (dependent claims verification)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making approximately $48,000/month while intercepting MY government assistance and forcing Eric to pay for our children's basic needs (food, housing, medical care).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constitutes federal mail fraud under 18 USC Section 1341 and California welfare fraud.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complete accounting of all withheld benefits and business income within 7 days, or I will refer this matter to: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Los Angeles County District Attorney (welfare fraud division)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U.S. Postal Inspection Service (mail fraud)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Internal Revenue Service (tax fraud)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California Franchise Tax Board (income underreporting)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giving you ONE opportunity to make this right before criminal referrals are made.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