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Health Insurance Coverage – December 2025 and 2026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confirmed with Covered California that I did not initiate any termination request. Their records show the primary account holder and mailing address is listed under your name and Altadena address, not mine.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unaware the family coverage had been terminated until I attempted to access medical care. I have requested Covered California send me documentation confirming: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Account control history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All termination requests and their source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Mailing address on file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2026 plan you purchased without consultation: under our joint legal custody arrangement, unilateral decisions about family health insurance require mutual agreement per court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provide immediately: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Copy of the 2026 policy details and coverage terms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Premium cost breakdown and payment source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Coverage effective dates and provider network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Confirmation that I am listed as co-subscriber with access rights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I require the 6-10 months of unemployment benefits and food stamp allocations you have withheld. These are government benefits issued in my name for our children's support. Please remit immediately.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review the insurance plan and respond regarding appropriate coverage for our family.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