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br w:type="textWrapping"/>
        <w:t xml:space="preserve">FAHED FREDDY SAYEGH 407 E. Woodbury Rd.</w:t>
        <w:br w:type="textWrapping"/>
        <w:t xml:space="preserve">2</w:t>
        <w:br w:type="textWrapping"/>
        <w:t xml:space="preserve">Altadena, California 91001 Telephone: (310) 877-5033 3</w:t>
        <w:br w:type="textWrapping"/>
      </w:r>
      <w:hyperlink r:id="rId6">
        <w:r w:rsidDel="00000000" w:rsidR="00000000" w:rsidRPr="00000000">
          <w:rPr>
            <w:color w:val="1155cc"/>
            <w:u w:val="single"/>
            <w:rtl w:val="0"/>
          </w:rPr>
          <w:t xml:space="preserve">freddy@thefoxxfirm.com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PRO PER</w:t>
        <w:br w:type="textWrapping"/>
        <w:t xml:space="preserve">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Electronically FILED by</w:t>
        <w:br w:type="textWrapping"/>
        <w:t xml:space="preserve">Superior Court of California, County of Los Angeles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11/10/2025 8:00 AM</w:t>
        <w:br w:type="textWrapping"/>
        <w:t xml:space="preserve">David W. Slayton, Clerk of Court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SUPERIOR COURT OF THE STATE OF CALIFORNIA</w:t>
        <w:br w:type="textWrapping"/>
        <w:t xml:space="preserve">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COUNTY OF LOS ANGELES</w:t>
        <w:br w:type="textWrapping"/>
        <w:t xml:space="preserve">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10 11 12 13 14 15 16 17</w:t>
        <w:br w:type="textWrapping"/>
        <w:t xml:space="preserve">FAHED SAYEGH Petitioner,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NUHA SAYEGH,  Respondent.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 Introduction</w:t>
      </w:r>
      <w:r w:rsidDel="00000000" w:rsidR="00000000" w:rsidRPr="00000000">
        <w:rPr>
          <w:rtl w:val="0"/>
        </w:rPr>
        <w:br w:type="textWrapping"/>
        <w:t xml:space="preserve">CASE NO: 25PDFL01441</w:t>
        <w:br w:type="textWrapping"/>
        <w:t xml:space="preserve">(r/w 25PDRO01246 (related dv matter)  (r/w 25PDFL01460 (related dv matter)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PETITIONER’S OPPOSITION TO  RESPONDENTS’S REQUEST FOR  ATTORNEY’S FEES</w:t>
      </w:r>
      <w:r w:rsidDel="00000000" w:rsidR="00000000" w:rsidRPr="00000000">
        <w:rPr>
          <w:rtl w:val="0"/>
        </w:rPr>
        <w:t xml:space="preserve"> (Fam. Code § 6344)</w:t>
      </w:r>
      <w:r w:rsidDel="00000000" w:rsidR="00000000" w:rsidRPr="00000000">
        <w:rPr>
          <w:b w:val="1"/>
          <w:bCs w:val="1"/>
          <w:rtl w:val="0"/>
        </w:rPr>
        <w:t xml:space="preserve">;  MEMORANDUM OF POINTS &amp;  AUTHORITIES; DECLARATION OF  FAHED “FREDDY” SAYEGH;  [PROPOSED] ORDER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Respondent seeks fees under Family Code § 6344 using a single invoice that mixes DVRO tasks  18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with dissolution/financial-disclosure work. Section 6344 authorizes only reasonable DVRO 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related fees and requires the court to consider ability to pay. The court should (1) exclude non 20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DVRO entries (e.g., dissolution response/UCCJEA, first-appearance fee, FL-150 work and  21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related e-filings); and (2) reduce the DVRO remainder for duplication/over-staffing of a single  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hearing, block-billing, administrative time, and travel billed at full rates. On this record, a steep  23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reduction is warranted and any award should be tightly capped.</w:t>
        <w:br w:type="textWrapping"/>
        <w:t xml:space="preserve">24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Numbers at a glance (from Respondent’s invoice and exhibits):</w:t>
        <w:br w:type="textWrapping"/>
        <w:t xml:space="preserve">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Total billed: $14,473.64</w:t>
        <w:br w:type="textWrapping"/>
        <w:t xml:space="preserve">26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Minimum non-DVRO carve-outs to exclude now: $2,237.64 (dissolution Response+UCCJEA;  27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first-appearance fee; FL-150/paystub tasks; associated e-filings)</w:t>
        <w:br w:type="textWrapping"/>
        <w:t xml:space="preserve">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30</w:t>
        <w:br w:type="textWrapping"/>
        <w:t xml:space="preserve">• DVRO baseline before reasonableness cuts: ≈ $12,236.00</w:t>
        <w:br w:type="textWrapping"/>
        <w:t xml:space="preserve">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Reasonableness reductions requested: removal of duplicative staffing for the 10/15 hearing;  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strike/halve travel billed at full rates; strike clerical/admin time; apply a 25–40% haircut to  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block-billed entries.</w:t>
        <w:br w:type="textWrapping"/>
        <w:t xml:space="preserve">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Proposed cap (post-reductions): not to exceed $4,000.</w:t>
        <w:br w:type="textWrapping"/>
        <w:t xml:space="preserve">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w:t>
        <w:br w:type="textWrapping"/>
      </w:r>
      <w:r w:rsidDel="00000000" w:rsidR="00000000" w:rsidRPr="00000000">
        <w:rPr>
          <w:b w:val="1"/>
          <w:bCs w:val="1"/>
          <w:rtl w:val="0"/>
        </w:rPr>
        <w:t xml:space="preserve">II. Legal Standard (Lodestar; Reasonableness)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7</w:t>
        <w:br w:type="textWrapping"/>
        <w:t xml:space="preserve">“The fee setting inquiry in California ordinarily begins with the ‘lodestar,’ i.e., the number of  8</w:t>
        <w:br w:type="textWrapping"/>
        <w:t xml:space="preserve">hours reasonably expended multiplied by the reasonable hourly rate.” PLCM Group, Inc. v.  9</w:t>
        <w:br w:type="textWrapping"/>
        <w:t xml:space="preserve">Drexler, 22 Cal.4th 1084, 1095 (2000). Courts consider the prevailing market rate and may  10</w:t>
        <w:br w:type="textWrapping"/>
        <w:t xml:space="preserve">adjust the lodestar for case-specific factors. See Serrano v. Priest, 20 Cal.3d 25, 48–49 (1977).  11</w:t>
        <w:br w:type="textWrapping"/>
        <w:t xml:space="preserve">The issue is the reasonable value of services, not the amount billed. Akins v. Enterprise Rent-A 12</w:t>
        <w:br w:type="textWrapping"/>
        <w:t xml:space="preserve">Car Co., 79 Cal.App.4th 1127, 1134 (2000). See also Iverson v. Spang Indus., Inc., 45  13</w:t>
        <w:br w:type="textWrapping"/>
        <w:t xml:space="preserve">Cal.App.3d 303, 312 (1975) (court assesses complexity, importance, skill, and time  14</w:t>
        <w:br w:type="textWrapping"/>
        <w:t xml:space="preserve">actually/necessarily consumed).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15</w:t>
        <w:br w:type="textWrapping"/>
        <w:t xml:space="preserve">Under Family Code § 6344, the court (1) limits fees to DVRO work; (2) considers ability to pay;  16</w:t>
        <w:br w:type="textWrapping"/>
        <w:t xml:space="preserve">and (3) awards only reasonable, necessary fees.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br w:type="textWrapping"/>
      </w:r>
      <w:r w:rsidDel="00000000" w:rsidR="00000000" w:rsidRPr="00000000">
        <w:rPr>
          <w:b w:val="1"/>
          <w:bCs w:val="1"/>
          <w:rtl w:val="0"/>
        </w:rPr>
        <w:t xml:space="preserve">III. Apportionment: Exclude Non-DVRO Work Now</w:t>
      </w:r>
      <w:r w:rsidDel="00000000" w:rsidR="00000000" w:rsidRPr="00000000">
        <w:rPr>
          <w:rtl w:val="0"/>
        </w:rPr>
        <w:br w:type="textWrapping"/>
        <w:t xml:space="preserve">18</w:t>
        <w:br w:type="textWrapping"/>
        <w:t xml:space="preserve">Respondent’s invoice includes charges that are not compensable under § 6344, including: 19</w:t>
        <w:br w:type="textWrapping"/>
        <w:t xml:space="preserve">1. Dissolution Response &amp; UCCJEA drafting/filing;</w:t>
        <w:br w:type="textWrapping"/>
        <w:t xml:space="preserve">20</w:t>
        <w:br w:type="textWrapping"/>
        <w:t xml:space="preserve">2. First-appearance fee in the dissolution;</w:t>
        <w:br w:type="textWrapping"/>
        <w:t xml:space="preserve">21</w:t>
        <w:br w:type="textWrapping"/>
        <w:t xml:space="preserve">3. Financial disclosure work (FL-150, paystub review/organization); and</w:t>
        <w:br w:type="textWrapping"/>
        <w:t xml:space="preserve">22</w:t>
        <w:br w:type="textWrapping"/>
        <w:t xml:space="preserve">4. Related e-filing/filing-service entries.</w:t>
        <w:br w:type="textWrapping"/>
        <w:t xml:space="preserve">23</w:t>
        <w:br w:type="textWrapping"/>
        <w:t xml:space="preserve">Those tasks are governed, if at all, by Family Code §§ 2030–2032 on a proper noticed motion  24</w:t>
        <w:br w:type="textWrapping"/>
        <w:t xml:space="preserve">with the required supporting forms (e.g., FL-319/FL-158). The court should exclude at least  25</w:t>
        <w:br w:type="textWrapping"/>
        <w:t xml:space="preserve">$2,237.64 now and deny those items without prejudice to a separate § 2030/2032 request. 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IV. Duplicative/Over-Staffing for a Single Hearing</w:t>
      </w:r>
      <w:r w:rsidDel="00000000" w:rsidR="00000000" w:rsidRPr="00000000">
        <w:rPr>
          <w:rtl w:val="0"/>
        </w:rPr>
        <w:br w:type="textWrapping"/>
        <w:t xml:space="preserve">27</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10/15 DVRO hearing was staffed by three timekeepers (lead counsel, associate, and 28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30</w:t>
        <w:br w:type="textWrapping"/>
        <w:t xml:space="preserve">assistant) with overlapping travel, preparation, and “assist at hearing” entries. Courts routinely  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allow one timekeeper for a short, single-issue hearing and cut secondary personnel substantially.  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court should:</w:t>
        <w:br w:type="textWrapping"/>
        <w:t xml:space="preserve">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Allow lead counsel’s reasonable appearance time;</w:t>
        <w:br w:type="textWrapping"/>
        <w:t xml:space="preserve">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Disallow the assistant’s hearing time entirely; and</w:t>
        <w:br w:type="textWrapping"/>
        <w:t xml:space="preserve">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Reduce the associate’s same-day time by ≥75% (or allow only a minimal prep slice if  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independently necessary).</w:t>
        <w:br w:type="textWrapping"/>
        <w:t xml:space="preserve">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8</w:t>
        <w:br w:type="textWrapping"/>
      </w:r>
      <w:r w:rsidDel="00000000" w:rsidR="00000000" w:rsidRPr="00000000">
        <w:rPr>
          <w:b w:val="1"/>
          <w:bCs w:val="1"/>
          <w:rtl w:val="0"/>
        </w:rPr>
        <w:t xml:space="preserve">V. Block-Billing and Vague Entries — Percentage Haircut</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w:t>
        <w:br w:type="textWrapping"/>
        <w:t xml:space="preserve">Block-billing is not per se improper, but where separation between compensable (DVRO) and  10</w:t>
        <w:br w:type="textWrapping"/>
        <w:t xml:space="preserve">non-compensable (dissolution) work is necessary, courts may apply a percentage reduction or  11</w:t>
        <w:br w:type="textWrapping"/>
        <w:t xml:space="preserve">disregard entries that prevent meaningful review. Jaramillo v. County of Orange, 200  12</w:t>
        <w:br w:type="textWrapping"/>
        <w:t xml:space="preserve">Cal.App.4th 811, 830 (2011); Heritage Pacific Financial, LLC v. Monroy, 215 Cal.App.4th 972,  13</w:t>
        <w:br w:type="textWrapping"/>
        <w:t xml:space="preserve">1010 (2013); Bell v. Vista Unified Sch. Dist., 82 Cal.App.4th 672, 689 (2001); Lunada  14</w:t>
        <w:br w:type="textWrapping"/>
        <w:t xml:space="preserve">Biomedical v. Nunez, 230 Cal.App.4th 459, 488 (2014).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15</w:t>
        <w:br w:type="textWrapping"/>
        <w:t xml:space="preserve">Examples (from the invoice) include multi-hour blocks such as: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16</w:t>
        <w:br w:type="textWrapping"/>
        <w:t xml:space="preserve">• “Revise Supplemental DVRO Declaration; prepare Exhibits” — 7.5 h (associate); 17</w:t>
        <w:br w:type="textWrapping"/>
        <w:t xml:space="preserve">• “Draft chronology of history; preparation for DVRO hearing” — 5.0 h (associate). 18</w:t>
        <w:br w:type="textWrapping"/>
        <w:t xml:space="preserve">A 25–40% haircut to those blocks is appropriate.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19</w:t>
        <w:br w:type="textWrapping"/>
      </w:r>
      <w:r w:rsidDel="00000000" w:rsidR="00000000" w:rsidRPr="00000000">
        <w:rPr>
          <w:b w:val="1"/>
          <w:bCs w:val="1"/>
          <w:rtl w:val="0"/>
        </w:rPr>
        <w:t xml:space="preserve">VI. Administrative/Clerical Time and Travel at Full Rates</w:t>
      </w:r>
      <w:r w:rsidDel="00000000" w:rsidR="00000000" w:rsidRPr="00000000">
        <w:rPr>
          <w:rtl w:val="0"/>
        </w:rPr>
        <w:br w:type="textWrapping"/>
        <w:t xml:space="preserve">20</w:t>
        <w:br w:type="textWrapping"/>
        <w:t xml:space="preserve">Entries for e-filings, file updates, calendaring, and court service are clerical and should be struck  21</w:t>
        <w:br w:type="textWrapping"/>
        <w:t xml:space="preserve">or billed at a non-attorney rate. Travel billed at full attorney rates should be reduced by 50% or  22</w:t>
        <w:br w:type="textWrapping"/>
        <w:t xml:space="preserve">disallowed when duplicative with multiple staff traveling to the same appearance. 23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VII. Ability to Pay</w:t>
      </w:r>
      <w:r w:rsidDel="00000000" w:rsidR="00000000" w:rsidRPr="00000000">
        <w:rPr>
          <w:rtl w:val="0"/>
        </w:rPr>
        <w:br w:type="textWrapping"/>
        <w:t xml:space="preserve">24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Section 6344 requires consideration of the parties’ relative financial circumstances. Petitioner’s  25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FL-150 and supporting exhibits show constrained cash flow and significant fixed obligations.  26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factor supports denying or substantially reducing any fee award (particularly after excluding  27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non-DVRO work and applying the above reductions).</w:t>
        <w:br w:type="textWrapping"/>
        <w:t xml:space="preserve">28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30</w:t>
        <w:br w:type="textWrapping"/>
      </w:r>
      <w:r w:rsidDel="00000000" w:rsidR="00000000" w:rsidRPr="00000000">
        <w:rPr>
          <w:b w:val="1"/>
          <w:bCs w:val="1"/>
          <w:rtl w:val="0"/>
        </w:rPr>
        <w:t xml:space="preserve">SUPPLEMENTAL CLARIFICATION OF ACCOUNTS AND EVENT EXPENDITURES</w:t>
      </w:r>
      <w:r w:rsidDel="00000000" w:rsidR="00000000" w:rsidRPr="00000000">
        <w:rPr>
          <w:rtl w:val="0"/>
        </w:rPr>
        <w:t xml:space="preserve"> 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w:t>
        <w:br w:type="textWrapping"/>
      </w:r>
      <w:r w:rsidDel="00000000" w:rsidR="00000000" w:rsidRPr="00000000">
        <w:rPr>
          <w:b w:val="1"/>
          <w:bCs w:val="1"/>
          <w:rtl w:val="0"/>
        </w:rPr>
        <w:t xml:space="preserve">Counsel’s Mischaracterizations of Accounts and Income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w:t>
        <w:br w:type="textWrapping"/>
        <w:t xml:space="preserve">Counsel, through his client, makes demonstrably false assertions and substantial exaggerations  4</w:t>
        <w:br w:type="textWrapping"/>
        <w:t xml:space="preserve">regarding my finances. The bank statements at issue are business records for The Foxx Law  5</w:t>
        <w:br w:type="textWrapping"/>
        <w:t xml:space="preserve">Group, PLC, not personal income. That entity is being wound down; it has no active clients, no  6</w:t>
        <w:br w:type="textWrapping"/>
        <w:t xml:space="preserve">ongoing revenue, and no residual going-concern value. Its website (</w:t>
      </w:r>
      <w:hyperlink r:id="rId7">
        <w:r w:rsidDel="00000000" w:rsidR="00000000" w:rsidRPr="00000000">
          <w:rPr>
            <w:color w:val="1155cc"/>
            <w:u w:val="single"/>
            <w:rtl w:val="0"/>
          </w:rPr>
          <w:t xml:space="preserve">www.thefoxxfirm.com</w:t>
        </w:r>
      </w:hyperlink>
      <w:r w:rsidDel="00000000" w:rsidR="00000000" w:rsidRPr="00000000">
        <w:rPr>
          <w:rtl w:val="0"/>
        </w:rPr>
        <w:t xml:space="preserve">) has  7</w:t>
        <w:br w:type="textWrapping"/>
        <w:t xml:space="preserve">been taken offline, and its Google and Yelp listings are marked “permanently closed.” The Foxx  8</w:t>
        <w:br w:type="textWrapping"/>
        <w:t xml:space="preserve">Law Group, PLC continues to show ordinary wind-down expenses—e.g., payroll/contractor  9</w:t>
        <w:br w:type="textWrapping"/>
        <w:t xml:space="preserve">costs, rent, utilities, insurance, software/subscriptions, bookkeeping/accounting, taxes/filing fees,  10</w:t>
        <w:br w:type="textWrapping"/>
        <w:t xml:space="preserve">office supplies, postage/courier, and equipment depreciation—until its books and taxes are  11</w:t>
        <w:br w:type="textWrapping"/>
        <w:t xml:space="preserve">finalized and the entity is closed.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12</w:t>
        <w:br w:type="textWrapping"/>
        <w:t xml:space="preserve">Respondent also knows I have been suspended from the practice of law and cannot rely on  13</w:t>
        <w:br w:type="textWrapping"/>
        <w:t xml:space="preserve">attorney earnings. She further knows I do not own any Culver City property and do not receive  14</w:t>
        <w:br w:type="textWrapping"/>
        <w:t xml:space="preserve">rent from such property, and that I do not own the Woodbury location; to the contrary, I pay rent  15</w:t>
        <w:br w:type="textWrapping"/>
        <w:t xml:space="preserve">there (it was my former law-office space).</w:t>
        <w:br w:type="textWrapping"/>
        <w:t xml:space="preserve">16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Insurance Reimbursements and Disaster-Response Activity</w:t>
      </w:r>
      <w:r w:rsidDel="00000000" w:rsidR="00000000" w:rsidRPr="00000000">
        <w:rPr>
          <w:rtl w:val="0"/>
        </w:rPr>
        <w:br w:type="textWrapping"/>
        <w:t xml:space="preserve">17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Counsel misidentifies several checks as “income” when, in fact, they are insurance  18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reimbursements from State Farm totaling $62,527.73 for documented Eaton Fires losses (January  19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7, 2025), including fire and smoke damage remediation, roof and fence repair, pool rust damage,  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spoiled food, and household-item losses. These were reimbursements for expenses I had already  21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advanced; they are not earnings or profit distributions. (See Exhibits A1: State Farm claim  22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summaries, contractor invoices/receipts, and corresponding bank statements tying each  23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reimbursement to the loss.)</w:t>
        <w:br w:type="textWrapping"/>
        <w:t xml:space="preserve">24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Emergency Operations; 80+ Eaton Fire Events; In-Process Reconciliation</w:t>
      </w:r>
      <w:r w:rsidDel="00000000" w:rsidR="00000000" w:rsidRPr="00000000">
        <w:rPr>
          <w:rtl w:val="0"/>
        </w:rPr>
        <w:t xml:space="preserve"> 25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Respondent erroneously alleges checks issued to a corporation are income. The checks issued  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from Perfected Claims to The Foxx Law Group are to host Eaton Fire Disaster related events.  27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Each check were issued on different days for different amounts, these events began in February 28</w:t>
        <w:br w:type="textWrapping"/>
      </w: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30</w:t>
        <w:br w:type="textWrapping"/>
        <w:t xml:space="preserve">up until the current day.</w:t>
        <w:br w:type="textWrapping"/>
        <w:t xml:space="preserve">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w:t>
        <w:br w:type="textWrapping"/>
        <w:t xml:space="preserve">In the wake of the fires, I helped produce, assisted, or developed from the ground up each of  3</w:t>
        <w:br w:type="textWrapping"/>
        <w:t xml:space="preserve">these events on an emergency basis. We operated as The Foxx Law Group, PLC dba The  4</w:t>
        <w:br w:type="textWrapping"/>
        <w:t xml:space="preserve">Altadena Coalition because there was no time to establish new banking and related  5</w:t>
        <w:br w:type="textWrapping"/>
        <w:t xml:space="preserve">administrative accounts; the legacy firm account served only as a fiscal conduit for program  6</w:t>
        <w:br w:type="textWrapping"/>
        <w:t xml:space="preserve">costs. Following more than 80 public events delivered on an emergency timetable, I had limited  7</w:t>
        <w:br w:type="textWrapping"/>
        <w:t xml:space="preserve">capacity to reconcile every expenditure contemporaneously. A full reconciliation is underway  8</w:t>
        <w:br w:type="textWrapping"/>
        <w:t xml:space="preserve">now. The checks shown in bank records span February through November; the dates shown are  9</w:t>
        <w:br w:type="textWrapping"/>
        <w:t xml:space="preserve">issuance dates of reimbursements or vendor payments and do not represent the entire period of  10</w:t>
        <w:br w:type="textWrapping"/>
        <w:t xml:space="preserve">work or program activity those checks cover. These transactions correspond to event and  11</w:t>
        <w:br w:type="textWrapping"/>
        <w:t xml:space="preserve">recovery program costs, not personal income. I will provide a supplemental reconciliation ledger  12</w:t>
        <w:br w:type="textWrapping"/>
        <w:t xml:space="preserve">mapping each check to its invoice(s), vendor, purpose, and program category upon completion of  13</w:t>
        <w:br w:type="textWrapping"/>
        <w:t xml:space="preserve">reconciliation.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14</w:t>
        <w:br w:type="textWrapping"/>
      </w:r>
      <w:r w:rsidDel="00000000" w:rsidR="00000000" w:rsidRPr="00000000">
        <w:rPr>
          <w:b w:val="1"/>
          <w:bCs w:val="1"/>
          <w:rtl w:val="0"/>
        </w:rPr>
        <w:t xml:space="preserve">Event &amp; Facilities Cost Detail (Categories for Exhibits) to build Altadena Resource Center</w:t>
      </w:r>
      <w:r w:rsidDel="00000000" w:rsidR="00000000" w:rsidRPr="00000000">
        <w:rPr>
          <w:rtl w:val="0"/>
        </w:rPr>
        <w:t xml:space="preserve"> 15</w:t>
        <w:br w:type="textWrapping"/>
        <w:t xml:space="preserve">A. Capital Equipment (one-time purchases; inventoried): sound system (powered speakers/PA,  16</w:t>
        <w:br w:type="textWrapping"/>
        <w:t xml:space="preserve">subs, monitors, amps, digital mixers, wired/wireless microphones, DI boxes, stands, cabling,  17</w:t>
        <w:br w:type="textWrapping"/>
        <w:t xml:space="preserve">road/rack cases), lighting/rigging (LED washes/spots, pars, DMX controllers, truss and crank  18</w:t>
        <w:br w:type="textWrapping"/>
        <w:t xml:space="preserve">stands, stage decks/risers, safety hardware), backline/DJ gear, power and distribution  19</w:t>
        <w:br w:type="textWrapping"/>
        <w:t xml:space="preserve">(generators, distro panels, cable ramps, heavy-gauge extensions, UPS), IT/AV (projectors,  20</w:t>
        <w:br w:type="textWrapping"/>
        <w:t xml:space="preserve">screens, cameras for livestream, capture cards, routers/APs, SD media, tripods/gimbals),  21</w:t>
        <w:br w:type="textWrapping"/>
        <w:t xml:space="preserve">storage/maintenance (cases, repair parts, consumables).</w:t>
        <w:br w:type="textWrapping"/>
        <w:t xml:space="preserve">22</w:t>
        <w:br w:type="textWrapping"/>
        <w:t xml:space="preserve">B. Venue, Rentals &amp; Site Infrastructure: venue rentals (including Altadena Community Center),  23</w:t>
        <w:br w:type="textWrapping"/>
        <w:t xml:space="preserve">tables/chairs, pipe &amp; drape, tents/canopies, staging, fencing/barricades, stanchions, signage  24</w:t>
        <w:br w:type="textWrapping"/>
        <w:t xml:space="preserve">stands, heaters/fans/misters, sandbags/ground cover/cable mats, golf carts/UTVs with fuel and  25</w:t>
        <w:br w:type="textWrapping"/>
        <w:t xml:space="preserve">delivery/pickup charges, temporary office/green room setup.</w:t>
        <w:br w:type="textWrapping"/>
        <w:t xml:space="preserve">26</w:t>
        <w:br w:type="textWrapping"/>
        <w:t xml:space="preserve">C. Public Safety, Compliance &amp; Insurance: event general liability and additional insureds;  27</w:t>
        <w:br w:type="textWrapping"/>
        <w:t xml:space="preserve">security, overnight watch, bag checks; EMT/medical standby; fire extinguishers/PPE; 28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30</w:t>
        <w:br w:type="textWrapping"/>
        <w:t xml:space="preserve">county/city/health/fire/building/sound permits and inspections; occupancy/load plans; ADA  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accommodations (ramps/rails, compliant seating, ASL interpreters, assistive listening); police  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detail/traffic control as required.</w:t>
        <w:br w:type="textWrapping"/>
        <w:t xml:space="preserve">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 Staffing, Contractors &amp; Professional Services: event producers, stage managers, audio  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engineers, lighting techs, site ops crew; graphic design/web/registration;</w:t>
        <w:br w:type="textWrapping"/>
        <w:t xml:space="preserve">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photography/videography/livestream; accounting/bookkeeping; payroll service fees; legal/risk  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review; permit expediters; translators/interpreters; outreach ambassadors; volunteer coordination. 7</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 Program Delivery &amp; Outreach: printing (flyers, posters, programs, wayfinding/safety signage,  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vinyl banners, QR placards); digital outreach (social ads/boosts, email platforms,  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domains/hosting); registration platforms and merchant fees; youth activities materials; speaker  10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honoraria and travel stipends; food &amp; beverage for attendees/volunteers; community resource  11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table costs (tent space, linen, utilities, power).</w:t>
        <w:br w:type="textWrapping"/>
        <w:t xml:space="preserve">12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 Operations, Sanitation &amp; Waste: portable restrooms (including ADA units) and hand-washing  13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stations; janitorial/cleaning; trash/recycling/green-waste hauling; back-of-house supplies (gaff  14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tape, zip ties, batteries, gloves, first-aid restock, tool rentals).</w:t>
        <w:br w:type="textWrapping"/>
        <w:t xml:space="preserve">15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 Altadena Community Center – Remodel &amp; Compliance Upgrades: electrical (additional  16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circuits/outlets, panel work, dedicated AV power, emergency/exit lighting), ADA  17</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(ramps/railings, restroom clearances, signage), life-safety (illuminated exit signs, egress  18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hardware, fire-safety updates), interior improvements (drywall/patch/paint, flooring repairs,  19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acoustical panels, window films), HVAC service/filters, low-voltage/IT (network drops, cable  20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management, router/AP mounting, secure equipment closet), permit/inspection fees, contractor  21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invoices (electrical, carpentry, flooring, signage).</w:t>
        <w:br w:type="textWrapping"/>
        <w:t xml:space="preserve">22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 Transportation &amp; Logistics: truck/van rentals, fuel, mileage, tolls/parking; courier/last-mile  23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delivery; loading dock fees.</w:t>
        <w:br w:type="textWrapping"/>
        <w:t xml:space="preserve">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Ongoing Overhead (during wind-down/project period): rent for Woodbury community  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workspace, utilities/internet/insurance, software/subscriptions (Adobe/Office/storage/project  26</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management), bank service charges and payment-processor fees tied to registrations.27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28</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30</w:t>
        <w:br w:type="textWrapping"/>
      </w:r>
      <w:r w:rsidDel="00000000" w:rsidR="00000000" w:rsidRPr="00000000">
        <w:rPr>
          <w:b w:val="1"/>
          <w:bCs w:val="1"/>
          <w:rtl w:val="0"/>
        </w:rPr>
        <w:t xml:space="preserve">VIII. Requested Relief</w:t>
      </w:r>
      <w:r w:rsidDel="00000000" w:rsidR="00000000" w:rsidRPr="00000000">
        <w:rPr>
          <w:rtl w:val="0"/>
        </w:rPr>
        <w:br w:type="textWrapping"/>
        <w:t xml:space="preserve">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Petitioner respectfully requests that the Court:</w:t>
        <w:br w:type="textWrapping"/>
        <w:t xml:space="preserve">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Exclude non-DVRO charges now (minimum $2,237.64 for dissolution/UCCJEA, first 3</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appearance fee, FL-150/paystub tasks, and related e-filings);</w:t>
        <w:br w:type="textWrapping"/>
        <w:t xml:space="preserve">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 On the DVRO remainder (≈ $12,236.00), apply reductions for duplication/over-staffing,  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block-billing, clerical/admin time, and travel, resulting in a cap not to exceed $4,000; and 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 Enter the proposed order below.</w:t>
        <w:br w:type="textWrapping"/>
        <w:t xml:space="preserve">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8</w:t>
        <w:br w:type="textWrapping"/>
      </w:r>
      <w:r w:rsidDel="00000000" w:rsidR="00000000" w:rsidRPr="00000000">
        <w:rPr>
          <w:b w:val="1"/>
          <w:bCs w:val="1"/>
          <w:rtl w:val="0"/>
        </w:rPr>
        <w:t xml:space="preserve">IX. Supplemental Opposition to Amended Fee Request (Post‑Termination / Fee‑Collection</w:t>
      </w:r>
      <w:r w:rsidDel="00000000" w:rsidR="00000000" w:rsidRPr="00000000">
        <w:rPr>
          <w:rtl w:val="0"/>
        </w:rPr>
        <w:t xml:space="preserve"> 9</w:t>
        <w:br w:type="textWrapping"/>
      </w:r>
      <w:r w:rsidDel="00000000" w:rsidR="00000000" w:rsidRPr="00000000">
        <w:rPr>
          <w:b w:val="1"/>
          <w:bCs w:val="1"/>
          <w:rtl w:val="0"/>
        </w:rPr>
        <w:t xml:space="preserve">Billing)</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10</w:t>
        <w:br w:type="textWrapping"/>
      </w:r>
      <w:r w:rsidDel="00000000" w:rsidR="00000000" w:rsidRPr="00000000">
        <w:rPr>
          <w:b w:val="1"/>
          <w:bCs w:val="1"/>
          <w:rtl w:val="0"/>
        </w:rPr>
        <w:t xml:space="preserve">Summary.</w:t>
      </w:r>
      <w:r w:rsidDel="00000000" w:rsidR="00000000" w:rsidRPr="00000000">
        <w:rPr>
          <w:rtl w:val="0"/>
        </w:rPr>
        <w:t xml:space="preserve"> After being terminated on October 15, Respondent’s counsel filed a new fee request  11</w:t>
        <w:br w:type="textWrapping"/>
        <w:t xml:space="preserve">that is largely billing to collect fees (e.g., lis pendens paperwork, §271 notices, fee‑motion work,  12</w:t>
        <w:br w:type="textWrapping"/>
        <w:t xml:space="preserve">internal “update file,” and mail/e‑file charges). Those entries are not DVRO work, are  13</w:t>
        <w:br w:type="textWrapping"/>
        <w:t xml:space="preserve">post‑termination, and are not compensable under Family Code § 6344. They must be excluded.  14</w:t>
        <w:br w:type="textWrapping"/>
        <w:t xml:space="preserve">Petitioner incorporates the original opposition’s apportionment, block‑billing reductions,  15</w:t>
        <w:br w:type="textWrapping"/>
        <w:t xml:space="preserve">administrative/clerical carve‑outs, and cap request, and supplements as follows: 16</w:t>
        <w:br w:type="textWrapping"/>
      </w:r>
      <w:r w:rsidDel="00000000" w:rsidR="00000000" w:rsidRPr="00000000">
        <w:rPr>
          <w:b w:val="1"/>
          <w:bCs w:val="1"/>
          <w:rtl w:val="0"/>
        </w:rPr>
        <w:t xml:space="preserve">I. § 6344 Allows Only DVRO‑Related Fees — Not Fee‑Collection or Dissolution Work</w:t>
      </w:r>
      <w:r w:rsidDel="00000000" w:rsidR="00000000" w:rsidRPr="00000000">
        <w:rPr>
          <w:rtl w:val="0"/>
        </w:rPr>
        <w:t xml:space="preserve">  17</w:t>
        <w:br w:type="textWrapping"/>
        <w:t xml:space="preserve">Section 6344 authorizes reasonable DVRO‑related fees, considering ability to pay. It does not  18</w:t>
        <w:br w:type="textWrapping"/>
        <w:t xml:space="preserve">authorize: (a) post‑termination time; (b) fee‑collection work (draft/serve §271 notices,  19</w:t>
        <w:br w:type="textWrapping"/>
        <w:t xml:space="preserve">fee‑motion papers, “update file” entries); (c) dissolution/financial tasks (FL‑150/I&amp;E, dissolution  20</w:t>
        <w:br w:type="textWrapping"/>
        <w:t xml:space="preserve">discovery, first‑appearance fees, lis pendens); or (d) clerical/admin and travel at full rates. The  21</w:t>
        <w:br w:type="textWrapping"/>
        <w:t xml:space="preserve">Court should limit any award to pre‑October 15 DVRO time and then apply the reductions  22</w:t>
        <w:br w:type="textWrapping"/>
        <w:t xml:space="preserve">shown in Petitioner’s original opposition.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23</w:t>
        <w:br w:type="textWrapping"/>
      </w:r>
      <w:r w:rsidDel="00000000" w:rsidR="00000000" w:rsidRPr="00000000">
        <w:rPr>
          <w:b w:val="1"/>
          <w:bCs w:val="1"/>
          <w:rtl w:val="0"/>
        </w:rPr>
        <w:t xml:space="preserve">II. Post‑Termination Entries (10/17–11/06) Are Fee‑Collection or Non‑DVRO and Must Be</w:t>
      </w:r>
      <w:r w:rsidDel="00000000" w:rsidR="00000000" w:rsidRPr="00000000">
        <w:rPr>
          <w:rtl w:val="0"/>
        </w:rPr>
        <w:t xml:space="preserve">  24</w:t>
        <w:br w:type="textWrapping"/>
      </w:r>
      <w:r w:rsidDel="00000000" w:rsidR="00000000" w:rsidRPr="00000000">
        <w:rPr>
          <w:b w:val="1"/>
          <w:bCs w:val="1"/>
          <w:rtl w:val="0"/>
        </w:rPr>
        <w:t xml:space="preserve">Stricken</w:t>
      </w:r>
      <w:r w:rsidDel="00000000" w:rsidR="00000000" w:rsidRPr="00000000">
        <w:rPr>
          <w:rtl w:val="0"/>
        </w:rPr>
        <w:t xml:space="preserve"> Respondent’s own invoices show that, after October 15, time was spent on collecting  25</w:t>
        <w:br w:type="textWrapping"/>
        <w:t xml:space="preserve">fees and non‑DVRO tasks (lis pendens, §271 notice, dissolution discovery/financials, memo re  26</w:t>
        <w:br w:type="textWrapping"/>
        <w:t xml:space="preserve">Borson, admin/e‑filing). Examples include entries on: 10/17 (discovery/I&amp;E), 10/20 (deeds  27</w:t>
        <w:br w:type="textWrapping"/>
        <w:t xml:space="preserve">review; draft Notice of Lis Pendens), 10/23 (draft §271 sanctions notice; finalize lis pendens), 28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30</w:t>
        <w:br w:type="textWrapping"/>
        <w:t xml:space="preserve">10/24–10/28 (I&amp;E revisions; admin; emails), 10/31–11/04 (update file/admin), and 11/05–11/06  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(amended lis pendens; declaration/memo re Borson, e‑file/service). These are categorically  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non‑DVRO and post‑discharge and must be excluded in full.</w:t>
        <w:br w:type="textWrapping"/>
        <w:t xml:space="preserve">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III. Even Pre‑10/15 DVRO Time Requires Reductions Already Briefed</w:t>
      </w:r>
      <w:r w:rsidDel="00000000" w:rsidR="00000000" w:rsidRPr="00000000">
        <w:rPr>
          <w:rtl w:val="0"/>
        </w:rPr>
        <w:t xml:space="preserve"> For any pre‑10/15 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DVRO‑related remainder, the Court should apply the cuts shown in Petitioner’s original  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opposition: duplicate staffing at the DVRO hearing; block‑billing haircuts (25–40%) where  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DVRO and non‑DVRO work are commingled; clerical/admin tasks struck or billed at  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non‑attorney rates; and travel at full attorney rate reduced by 50% or more.</w:t>
        <w:br w:type="textWrapping"/>
        <w:t xml:space="preserve">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IV. Ability to Pay</w:t>
      </w:r>
      <w:r w:rsidDel="00000000" w:rsidR="00000000" w:rsidRPr="00000000">
        <w:rPr>
          <w:rtl w:val="0"/>
        </w:rPr>
        <w:t xml:space="preserve"> Petitioner’s FL‑150 and declaration (insurance reimbursements; firm  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wind‑down; no attorney income) demonstrate constrained cash flow, supporting denial or sharp  10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limitation of any award after the exclusions above.</w:t>
        <w:br w:type="textWrapping"/>
        <w:t xml:space="preserve">11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Requested Relief</w:t>
      </w:r>
      <w:r w:rsidDel="00000000" w:rsidR="00000000" w:rsidRPr="00000000">
        <w:rPr>
          <w:rtl w:val="0"/>
        </w:rPr>
        <w:t xml:space="preserve"> Petitioner respectfully requests that the Court: (1) Exclude all entries dated  12</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after October 15 as post‑termination and/or fee‑collection work (including lis pendens, §271  13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notices, Borson‑related drafting, and associated admin/e‑file/postage); (2) Exclude  14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dissolution/financial‑disclosure work (Response/UCCJEA, first‑appearance fees, FL‑150/I&amp;E, 15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discovery) and all clerical/admin time and travel at full rates; and (3) On any pre‑10/15 DVRO  16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remainder, apply reductions for duplicate staffing and block‑billing (25–40% haircut) and enter a  17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tight cap (e.g., not to exceed $4,000).</w:t>
        <w:br w:type="textWrapping"/>
        <w:t xml:space="preserve">18</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19</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Exhibit Call‑Outs (Billing Entries to be Excluded)</w:t>
      </w:r>
      <w:r w:rsidDel="00000000" w:rsidR="00000000" w:rsidRPr="00000000">
        <w:rPr>
          <w:rtl w:val="0"/>
        </w:rPr>
        <w:br w:type="textWrapping"/>
        <w:t xml:space="preserve">20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10/17 — dissolution discovery/I&amp;E preparation and revisions; not DVRO.</w:t>
        <w:br w:type="textWrapping"/>
        <w:t xml:space="preserve">21</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10/20 — deeds review; draft Notice of Lis Pendens; not DVRO.</w:t>
        <w:br w:type="textWrapping"/>
        <w:t xml:space="preserve">22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10/23 — draft §271 sanctions notice; finalize lis pendens; fee‑collection posture. 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10/24–10/28 — I&amp;E, admin/“update file,” emails; not DVRO.</w:t>
        <w:br w:type="textWrapping"/>
        <w:t xml:space="preserve">24</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10/31–11/04 — “update file” entries preparing for 11/19; administrative.</w:t>
        <w:br w:type="textWrapping"/>
        <w:t xml:space="preserve">25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11/05–11/06 — amended lis pendens; declaration/memo re Borson; pure fee‑collection.26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28</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30</w:t>
        <w:br w:type="textWrapping"/>
      </w:r>
      <w:r w:rsidDel="00000000" w:rsidR="00000000" w:rsidRPr="00000000">
        <w:rPr>
          <w:b w:val="1"/>
          <w:bCs w:val="1"/>
          <w:rtl w:val="0"/>
        </w:rPr>
        <w:t xml:space="preserve">DECLARATION OF FAHED “FREDDY” SAYEGH IN SUPPORT OF OPPOSITION TO</w:t>
      </w:r>
      <w:r w:rsidDel="00000000" w:rsidR="00000000" w:rsidRPr="00000000">
        <w:rPr>
          <w:rtl w:val="0"/>
        </w:rPr>
        <w:t xml:space="preserve">  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RESPONDENT’S REQUEST FOR ATTORNEY’S FEES (Fam. Code § 6344)</w:t>
      </w:r>
      <w:r w:rsidDel="00000000" w:rsidR="00000000" w:rsidRPr="00000000">
        <w:rPr>
          <w:rtl w:val="0"/>
        </w:rPr>
        <w:t xml:space="preserve"> 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Fahed “Freddy” Sayegh, declare:</w:t>
        <w:br w:type="textWrapping"/>
        <w:t xml:space="preserve">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Identity &amp; Competence. I am the Petitioner in this action. I have personal knowledge of the facts  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set forth herein and could and would testify competently to them if called as a witness. 5</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6</w:t>
        <w:br w:type="textWrapping"/>
        <w:t xml:space="preserve">Law Practice Status / Firm Wind-Down. I was suspended from the practice of law on February  7</w:t>
        <w:br w:type="textWrapping"/>
        <w:t xml:space="preserve">14, 2025. My former entity, The Foxx Law Group, PLC (FLG), is being wound down. FLG has  8</w:t>
        <w:br w:type="textWrapping"/>
        <w:t xml:space="preserve">no active clients, no ongoing revenue, and no going-concern value. The public-facing website  9</w:t>
        <w:br w:type="textWrapping"/>
        <w:t xml:space="preserve">has been taken offline and the Google/Yelp pages state “permanently closed.” FLG continues to  10</w:t>
        <w:br w:type="textWrapping"/>
        <w:t xml:space="preserve">incur ordinary wind-down expenses (rent, utilities, payroll/contractors, insurance,  11</w:t>
        <w:br w:type="textWrapping"/>
        <w:t xml:space="preserve">software/subscriptions, bookkeeping/accounting, filing fees, office supplies, postage/courier, and  12</w:t>
        <w:br w:type="textWrapping"/>
        <w:t xml:space="preserve">equipment depreciation) until its books and taxes are finalized and the entity is closed.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13</w:t>
        <w:br w:type="textWrapping"/>
        <w:t xml:space="preserve">Accounts Are Business, Not Personal Income. The bank statements identified by Respondent are  14</w:t>
        <w:br w:type="textWrapping"/>
        <w:t xml:space="preserve">business records of FLG, not my personal income. During the wind-down period and the  15</w:t>
        <w:br w:type="textWrapping"/>
        <w:t xml:space="preserve">emergency response described below, the FLG account functioned solely as a fiscal conduit to  16</w:t>
        <w:br w:type="textWrapping"/>
        <w:t xml:space="preserve">receive reimbursements and pay project expenses when it was not feasible to open new banking  17</w:t>
        <w:br w:type="textWrapping"/>
        <w:t xml:space="preserve">immediately.</w:t>
        <w:br w:type="textWrapping"/>
        <w:t xml:space="preserve">18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 Rental Income / Property Ownership. I do not own any property in Culver City and do not  19</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receive rent from any such property. I also do not own the Woodbury location; I pay rent there (it  20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served as my former law-office/community workspace).</w:t>
        <w:br w:type="textWrapping"/>
        <w:t xml:space="preserve">21</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Eaton Fires &amp; Emergency Operations. On January 7, 2025, the Eaton Fires struck  22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Altadena/Pasadena. From that time through the present, I helped produce, assisted, or developed  23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from the ground up more than 80 public events and community-response programs on an  24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emergency basis, operating as The Foxx Law Group, PLC dba The Altadena Coalition due to the  25</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urgent need to act before new banking and back-office systems could be established. 26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27</w:t>
        <w:br w:type="textWrapping"/>
        <w:t xml:space="preserve">Insurance Reimbursements (Not Income). Checks counsel labels as “income” are insurance 28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30</w:t>
        <w:br w:type="textWrapping"/>
        <w:t xml:space="preserve">reimbursements from State Farm totaling $62,527.73 for documented fire/smoke losses from the  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Eaton Fires, including remediation, roof and fence repair, pool rust damage, spoiled food, and  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household-item losses. I had already advanced these costs; the deposits are reimbursements, not  3</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earnings or profit distributions. True and correct copies of State Farm claim summaries,  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contractor invoices/receipts, and corresponding bank statement entries (tying each  5</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reimbursement to the loss) are attached as Exhibits A-1)</w:t>
        <w:br w:type="textWrapping"/>
        <w:t xml:space="preserve">6</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7</w:t>
        <w:br w:type="textWrapping"/>
        <w:t xml:space="preserve">Event &amp; Facility Expenditures (Program Costs, Not Income). Deposits and disbursements in the  8</w:t>
        <w:br w:type="textWrapping"/>
        <w:t xml:space="preserve">period after the fires correspond to restricted program budgets for community events and  9</w:t>
        <w:br w:type="textWrapping"/>
        <w:t xml:space="preserve">recovery efforts, including: (a) capital equipment (professional sound system, lighting, truss,  10</w:t>
        <w:br w:type="textWrapping"/>
        <w:t xml:space="preserve">staging, AV/IT, storage cases); (b) venue/rentals/site infrastructure (including Altadena  11</w:t>
        <w:br w:type="textWrapping"/>
        <w:t xml:space="preserve">Community Center), tents, staging, fencing, signage stands, cable mats, heaters/fans,  12</w:t>
        <w:br w:type="textWrapping"/>
        <w:t xml:space="preserve">carts/UTVs; (c) public safety/compliance/insurance (GL, security, EMT, permits/inspections,  13</w:t>
        <w:br w:type="textWrapping"/>
        <w:t xml:space="preserve">ADA/ASL); (d) staffing/contractors (producers, engineers/techs, site ops,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14</w:t>
        <w:br w:type="textWrapping"/>
        <w:t xml:space="preserve">graphics/web/registration, photo/video/livestream, accounting, permit expediters, translators,  15</w:t>
        <w:br w:type="textWrapping"/>
        <w:t xml:space="preserve">outreach); (e) program delivery/outreach (printing/signage, digital ads, email platforms,  16</w:t>
        <w:br w:type="textWrapping"/>
        <w:t xml:space="preserve">domains/hosting, merchant/registration fees, youth materials, speaker honoraria, food &amp;  17</w:t>
        <w:br w:type="textWrapping"/>
        <w:t xml:space="preserve">beverage); (f) operations/sanitation/waste (portable restrooms incl. ADA units, hand-wash  18</w:t>
        <w:br w:type="textWrapping"/>
        <w:t xml:space="preserve">stations, janitorial, trash/recycling/green-waste hauling, back-of-house supplies); (g)  19</w:t>
        <w:br w:type="textWrapping"/>
        <w:t xml:space="preserve">transportation/logistics (truck/van rentals, fuel, mileage, tolls/parking; courier/last-mile, dock  20</w:t>
        <w:br w:type="textWrapping"/>
        <w:t xml:space="preserve">fees); and (h) ongoing overhead during wind-down (Woodbury rent, utilities, internet, insurance;  21</w:t>
        <w:br w:type="textWrapping"/>
        <w:t xml:space="preserve">software/subscriptions; processor/bank fees linked to registrations).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22</w:t>
        <w:br w:type="textWrapping"/>
        <w:t xml:space="preserve">Altadena Community Center – Remodel &amp; Code Compliance. To safely host workshops and  23</w:t>
        <w:br w:type="textWrapping"/>
        <w:t xml:space="preserve">town halls, funds were also used for remodel and compliance upgrades at the Altadena  24</w:t>
        <w:br w:type="textWrapping"/>
        <w:t xml:space="preserve">Community Center, including electrical (added circuits/outlets, panel work, dedicated AV power,  25</w:t>
        <w:br w:type="textWrapping"/>
        <w:t xml:space="preserve">emergency/exit lighting), ADA (ramps/railings, restroom clearances, signage), life-safety  26</w:t>
        <w:br w:type="textWrapping"/>
        <w:t xml:space="preserve">(illuminated exit signs, egress hardware, fire-safety updates), interior improvements  27</w:t>
        <w:br w:type="textWrapping"/>
        <w:t xml:space="preserve">(drywall/patch/paint, flooring repairs, acoustical treatment), HVAC servicing/filters, low-28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30</w:t>
        <w:br w:type="textWrapping"/>
        <w:t xml:space="preserve">voltage/IT drops and cable management, and related permit/inspection fees. Contractor/vendor  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invoices and matching bank entries are attached in the D-series exhibits below. 2</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3</w:t>
        <w:br w:type="textWrapping"/>
        <w:t xml:space="preserve">Reconciliation In Progress. Because these programs were delivered under emergency disaster 4</w:t>
        <w:br w:type="textWrapping"/>
        <w:t xml:space="preserve">response conditions, there was limited capacity to reconcile every expenditure in real time. We  5</w:t>
        <w:br w:type="textWrapping"/>
        <w:t xml:space="preserve">are actively reconciling now. The checks reflected in bank records span February through  6</w:t>
        <w:br w:type="textWrapping"/>
        <w:t xml:space="preserve">November; the dates shown are issuance dates of reimbursements or vendor payments and do not  7</w:t>
        <w:br w:type="textWrapping"/>
        <w:t xml:space="preserve">represent the full period of work or program activity covered. I will provide a supplemental  8</w:t>
        <w:br w:type="textWrapping"/>
        <w:t xml:space="preserve">reconciliation ledger mapping each check to its underlying invoice(s), vendor, purpose, and  9</w:t>
        <w:br w:type="textWrapping"/>
        <w:t xml:space="preserve">program category upon completion of reconciliation.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10</w:t>
        <w:br w:type="textWrapping"/>
        <w:t xml:space="preserve">Business-Records Foundation. The attached exhibits are kept in the ordinary course of business  11</w:t>
        <w:br w:type="textWrapping"/>
        <w:t xml:space="preserve">by me and/or FLG. It is the regular practice to make and maintain such records at or near the  12</w:t>
        <w:br w:type="textWrapping"/>
        <w:t xml:space="preserve">time of the acts or transactions recorded. (Evid. Code § 1271.)</w:t>
        <w:br w:type="textWrapping"/>
        <w:t xml:space="preserve">13</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Ability to Pay (Context). My FL-150 reflects constrained cash flow and significant fixed  14</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obligations. In light of the wind-down of my practice, lack of attorney income, and the non 15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income nature of the deposits referenced above, I respectfully submit that Respondent’s fee  16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request should be confined to DVRO-related work and otherwise substantially reduced. 17</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declare under penalty of perjury under the laws of the State of California that the foregoing is  18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true and correct.</w:t>
        <w:br w:type="textWrapping"/>
        <w:t xml:space="preserve">19</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Executed on ______7th of November______, 2025, at San Antonio Texas</w:t>
        <w:br w:type="textWrapping"/>
        <w:t xml:space="preserve">20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/Fahed Sayegh/</w:t>
        <w:br w:type="textWrapping"/>
        <w:t xml:space="preserve">21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Fahed “Freddy” Sayegh, Declarant</w:t>
        <w:br w:type="textWrapping"/>
        <w:t xml:space="preserve">22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23</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24</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25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26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27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28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30</w:t>
        <w:br w:type="textWrapping"/>
      </w:r>
      <w:r w:rsidDel="00000000" w:rsidR="00000000" w:rsidRPr="00000000">
        <w:rPr>
          <w:b w:val="1"/>
          <w:bCs w:val="1"/>
          <w:rtl w:val="0"/>
        </w:rPr>
        <w:t xml:space="preserve">EXHIBIT A</w:t>
      </w:r>
      <w:r w:rsidDel="00000000" w:rsidR="00000000" w:rsidRPr="00000000">
        <w:rPr>
          <w:rtl w:val="0"/>
        </w:rPr>
        <w:br w:type="textWrapping"/>
        <w:t xml:space="preserve">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Sayegh Status Letter (Exact PDF Attached)</w:t>
      </w:r>
      <w:r w:rsidDel="00000000" w:rsidR="00000000" w:rsidRPr="00000000">
        <w:rPr>
          <w:rtl w:val="0"/>
        </w:rPr>
        <w:br w:type="textWrapping"/>
        <w:t xml:space="preserve">2</w:t>
        <w:br w:type="textWrapping"/>
      </w:r>
      <w:r w:rsidDel="00000000" w:rsidR="00000000" w:rsidRPr="00000000">
        <w:rPr>
          <w:i w:val="1"/>
          <w:iCs w:val="1"/>
          <w:rtl w:val="0"/>
        </w:rPr>
        <w:t xml:space="preserve">Submitted in original PDF format to preserve layout.</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3</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Providing Insurance and Financial Services Home Office, Bloomington, IL StateFarm 6</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October 18, 2025</w:t>
        <w:br w:type="textWrapping"/>
        <w:t xml:space="preserve">8</w:t>
        <w:br w:type="textWrapping"/>
        <w:t xml:space="preserve">FAHED SAYEGHSeteInsuranceCor Companies re IMs FAHEDA SAYEGH</w:t>
        <w:br w:type="textWrapping"/>
        <w:t xml:space="preserve">State Fam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9</w:t>
        <w:br w:type="textWrapping"/>
        <w:t xml:space="preserve">PO BOX 106169</w:t>
        <w:br w:type="textWrapping"/>
        <w:t xml:space="preserve">1226 SONOMA DR, Alon, GA 303486469 ALTADENA, CA, 91001-3152 Fax 814936 9046</w:t>
        <w:br w:type="textWrapping"/>
        <w:t xml:space="preserve">10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13</w:t>
        <w:br w:type="textWrapping"/>
        <w:t xml:space="preserve">RE: Claim Number: 75-79F4-04C</w:t>
        <w:br w:type="textWrapping"/>
        <w:t xml:space="preserve">Policy Number: 71-BW-U158-3</w:t>
        <w:br w:type="textWrapping"/>
        <w:t xml:space="preserve">Location of Insured</w:t>
        <w:br w:type="textWrapping"/>
        <w:t xml:space="preserve">14</w:t>
        <w:br w:type="textWrapping"/>
        <w:t xml:space="preserve">Property: 1226 SONOMA DR, ALTADENA, CA, 91001-3152 Date of Loss: January 7, 2025</w:t>
        <w:br w:type="textWrapping"/>
        <w:t xml:space="preserve">15</w:t>
        <w:br w:type="textWrapping"/>
        <w:t xml:space="preserve">Type of Policy: Homeowners Policy HW-2105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Dear Fahed Sayegh and Faheda Sayegh:</w:t>
        <w:br w:type="textWrapping"/>
        <w:t xml:space="preserve">16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Please allow this letter to provide you an update on yourloss. hope you find this information useful as we work togetherto bring this matter to conclusion.</w:t>
        <w:br w:type="textWrapping"/>
        <w:t xml:space="preserve">17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SUMMARY OF CLAIM STATUS</w:t>
        <w:br w:type="textWrapping"/>
        <w:t xml:space="preserve">18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19</w:t>
        <w:br w:type="textWrapping"/>
        <w:t xml:space="preserve">Your Coverage Dwelling policy limit is $391,638.00 and Coverage Other Structures</w:t>
        <w:br w:type="textWrapping"/>
        <w:t xml:space="preserve">policy limit is $39,164.00.</w:t>
        <w:br w:type="textWrapping"/>
        <w:t xml:space="preserve">20</w:t>
        <w:br w:type="textWrapping"/>
        <w:t xml:space="preserve">To date, we have provided you claim payment of $62,527.73 based on the replacement cost</w:t>
        <w:br w:type="textWrapping"/>
        <w:t xml:space="preserve">value of the damaged property.</w:t>
        <w:br w:type="textWrapping"/>
        <w:t xml:space="preserve">21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If, before or during the period of repairs, you become aware that the actual cost to repair,</w:t>
        <w:br w:type="textWrapping"/>
        <w:t xml:space="preserve">22</w:t>
        <w:br w:type="textWrapping"/>
        <w:t xml:space="preserve">rebuild, or replace your damaged property exceeds the cost estimated, please contact us</w:t>
        <w:br w:type="textWrapping"/>
        <w:t xml:space="preserve">immediately so that we may review any possible additional coverage for your loss.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23</w:t>
        <w:br w:type="textWrapping"/>
        <w:t xml:space="preserve">Coverage Personal Property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Your Coverage Personal Property policy limit is $293,728.00. You have received an advance of $19,173.60 towards your Coverage B-Personal Property loss. ver of Additional Living Expen</w:t>
        <w:br w:type="textWrapping"/>
        <w:t xml:space="preserve">24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26</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28</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30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75-79F4-04C</w:t>
        <w:br w:type="textWrapping"/>
        <w:t xml:space="preserve">2</w:t>
        <w:br w:type="textWrapping"/>
        <w:t xml:space="preserve">Page October 18, 2025</w:t>
        <w:br w:type="textWrapping"/>
        <w:t xml:space="preserve">The most we will pay for the sum of all losses combined under Additional Living Expense, Fair Rental Value, and Prohibited Use is the limit of liability shown in the Declarations for</w:t>
        <w:br w:type="textWrapping"/>
        <w:t xml:space="preserve">3</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4</w:t>
        <w:br w:type="textWrapping"/>
        <w:t xml:space="preserve">Your Coverage Loss of Use limit is $117,491.00.To date, we have paid $85,086.15 for</w:t>
        <w:br w:type="textWrapping"/>
        <w:t xml:space="preserve">Coverage Loss of Use.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5</w:t>
        <w:br w:type="textWrapping"/>
        <w:t xml:space="preserve">incurred Additional Living Expenses.</w:t>
        <w:br w:type="textWrapping"/>
        <w:t xml:space="preserve">6</w:t>
        <w:br w:type="textWrapping"/>
        <w:t xml:space="preserve">In order to continue to address this portion of your loss, please forward any incurred Additional Living Expenses which have not been provided for our review and consideration.</w:t>
        <w:br w:type="textWrapping"/>
        <w:t xml:space="preserve">7</w:t>
        <w:br w:type="textWrapping"/>
        <w:t xml:space="preserve">Your policy states as follows:</w:t>
        <w:br w:type="textWrapping"/>
        <w:t xml:space="preserve">The most we will pay for the sum of all losses combined under Additional Living</w:t>
        <w:br w:type="textWrapping"/>
        <w:t xml:space="preserve">8</w:t>
        <w:br w:type="textWrapping"/>
        <w:t xml:space="preserve">COVERAGE -LOSS OF USE</w:t>
        <w:br w:type="textWrapping"/>
        <w:t xml:space="preserve">Expense, Fair Rental Value, and Prohibited Use is the limit of liability shown in the Declarations for Coverage Loss of Use.</w:t>
        <w:br w:type="textWrapping"/>
        <w:t xml:space="preserve">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10</w:t>
        <w:br w:type="textWrapping"/>
        <w:t xml:space="preserve">1. Additional Living Expense. When /oss insured causes the residence premises</w:t>
        <w:br w:type="textWrapping"/>
        <w:t xml:space="preserve">to become uninhabitable, we will pay the reasonable and necessary increase in cost</w:t>
        <w:br w:type="textWrapping"/>
        <w:t xml:space="preserve">incurred by an insured to maintain their normal standard of living for up to 24 months. Our paymentis limited to incurred costs for the shortest of:</w:t>
        <w:br w:type="textWrapping"/>
        <w:t xml:space="preserve">11</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the time required to repair or replace the premises;</w:t>
        <w:br w:type="textWrapping"/>
        <w:t xml:space="preserve">12</w:t>
        <w:br w:type="textWrapping"/>
        <w:t xml:space="preserve">b. the time required for your household to settle elsewhere; or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 24 months.</w:t>
        <w:br w:type="textWrapping"/>
        <w:t xml:space="preserve">13</w:t>
        <w:br w:type="textWrapping"/>
        <w:t xml:space="preserve">This period of time is not limited by the expiration of this policy.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In the event Joss insured arising from state of emergency, as defined in Section</w:t>
        <w:br w:type="textWrapping"/>
        <w:t xml:space="preserve">14</w:t>
        <w:br w:type="textWrapping"/>
        <w:t xml:space="preserve">8558 of the Government Code, causes the residence premises to become</w:t>
        <w:br w:type="textWrapping"/>
        <w:t xml:space="preserve">delay or delays in the reconstruction process that are the result of circumstances</w:t>
        <w:br w:type="textWrapping"/>
        <w:t xml:space="preserve">uninhabitable, we may grant an extension of up to 12 additional months, for total of</w:t>
        <w:br w:type="textWrapping"/>
        <w:t xml:space="preserve">15</w:t>
        <w:br w:type="textWrapping"/>
        <w:t xml:space="preserve">36 months,if you, acting in good faith and with reasonable diligence, encounter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beyond yourcontrol. Circumstances beyond yourcontrol include, but are not limited</w:t>
        <w:br w:type="textWrapping"/>
        <w:t xml:space="preserve">16</w:t>
        <w:br w:type="textWrapping"/>
        <w:t xml:space="preserve">to: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unavoidable construction permit delays;</w:t>
        <w:br w:type="textWrapping"/>
        <w:t xml:space="preserve">17</w:t>
        <w:br w:type="textWrapping"/>
        <w:t xml:space="preserve">b. lack of necessary construction materials; or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 lack of available contractors to perform the necessary work.</w:t>
        <w:br w:type="textWrapping"/>
        <w:t xml:space="preserve">18</w:t>
        <w:br w:type="textWrapping"/>
        <w:t xml:space="preserve">We will not pay more than the limit of liability shown in the Declarations for</w:t>
        <w:br w:type="textWrapping"/>
        <w:t xml:space="preserve">Coverage Loss of Use. Any normal expenses that are reduced or discontinued</w:t>
        <w:br w:type="textWrapping"/>
        <w:t xml:space="preserve">19</w:t>
        <w:br w:type="textWrapping"/>
        <w:t xml:space="preserve">due to loss insured will be subtracted from any amount owed.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20</w:t>
        <w:br w:type="textWrapping"/>
        <w:t xml:space="preserve">This Company does not intend by this letter to waive any policy defenses in addition to those stated above and reserves its rightto assert such additional policy defenses at any time.</w:t>
        <w:br w:type="textWrapping"/>
        <w:t xml:space="preserve">21</w:t>
        <w:br w:type="textWrapping"/>
        <w:t xml:space="preserve">If you have questions or need further assistance, please contact me at 866-787-8676, ext. 9619.22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23</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24</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25</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27</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28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30</w:t>
        <w:br w:type="textWrapping"/>
        <w:t xml:space="preserve">(866) 787-8676 Ext. 9619</w:t>
        <w:br w:type="textWrapping"/>
        <w:t xml:space="preserve">Fax: 1-844-236-3646</w:t>
        <w:br w:type="textWrapping"/>
      </w:r>
      <w:hyperlink r:id="rId8">
        <w:r w:rsidDel="00000000" w:rsidR="00000000" w:rsidRPr="00000000">
          <w:rPr>
            <w:color w:val="1155cc"/>
            <w:u w:val="single"/>
            <w:rtl w:val="0"/>
          </w:rPr>
          <w:t xml:space="preserve">statefarmfireclaims@statefarm.com</w:t>
        </w:r>
      </w:hyperlink>
      <w:r w:rsidDel="00000000" w:rsidR="00000000" w:rsidRPr="00000000">
        <w:rPr>
          <w:rtl w:val="0"/>
        </w:rPr>
        <w:br w:type="textWrapping"/>
        <w:t xml:space="preserve">For your protection, when emailing State Farm, please do not include sensitive personalinformation such as Social Security Number, credit/debit cardber(fit account ber). driver's license ber, or health/medical infc in an email. Please contact us at (866) 787-8676 Ext. 9619 to discuss sensitive information.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State Farm General Insurance Company</w:t>
        <w:br w:type="textWrapping"/>
        <w:t xml:space="preserve">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Take advantage of our self-service options Go to statefarm.com® to easily review claim status, update communication and claim payment</w:t>
        <w:br w:type="textWrapping"/>
        <w:t xml:space="preserve">2</w:t>
        <w:br w:type="textWrapping"/>
        <w:t xml:space="preserve">preferences, and many other insurance services.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3</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4</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5</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6</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8</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9</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14</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15</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17</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18</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19</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20</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21</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23</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24</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26</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27</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28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30</w:t>
        <w:br w:type="textWrapping"/>
      </w:r>
      <w:r w:rsidDel="00000000" w:rsidR="00000000" w:rsidRPr="00000000">
        <w:rPr>
          <w:b w:val="1"/>
          <w:bCs w:val="1"/>
          <w:rtl w:val="0"/>
        </w:rPr>
        <w:t xml:space="preserve">PROOF OF SERVICE</w:t>
      </w:r>
      <w:r w:rsidDel="00000000" w:rsidR="00000000" w:rsidRPr="00000000">
        <w:rPr>
          <w:rtl w:val="0"/>
        </w:rPr>
        <w:br w:type="textWrapping"/>
        <w:t xml:space="preserve">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2</w:t>
        <w:br w:type="textWrapping"/>
        <w:t xml:space="preserve">I am over the age of 18 and not a party to this action. My business address is 409 East Woodbury  Road, Altadena, CA 91001. On 11-08-2025, I served the foregoing OPPOSITION TO</w:t>
        <w:br w:type="textWrapping"/>
        <w:t xml:space="preserve">3</w:t>
        <w:br w:type="textWrapping"/>
        <w:t xml:space="preserve">ATTORNEYS FEES</w:t>
        <w:br w:type="textWrapping"/>
        <w:t xml:space="preserve">4</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Attorney for Petitioner</w:t>
        <w:br w:type="textWrapping"/>
        <w:t xml:space="preserve">5</w:t>
        <w:br w:type="textWrapping"/>
        <w:t xml:space="preserve">Kirk A. Kolodji, Esq.</w:t>
        <w:br w:type="textWrapping"/>
        <w:t xml:space="preserve">Kolodji Family Law, PC</w:t>
        <w:br w:type="textWrapping"/>
        <w:t xml:space="preserve">6</w:t>
        <w:br w:type="textWrapping"/>
        <w:t xml:space="preserve">35 N. Lake Ave., Ste. 710, Pasadena, CA 91101</w:t>
        <w:br w:type="textWrapping"/>
        <w:t xml:space="preserve">7</w:t>
        <w:br w:type="textWrapping"/>
        <w:t xml:space="preserve">Tel: (310) 691-9671 • Email: </w:t>
      </w:r>
      <w:hyperlink r:id="rId9">
        <w:r w:rsidDel="00000000" w:rsidR="00000000" w:rsidRPr="00000000">
          <w:rPr>
            <w:color w:val="1155cc"/>
            <w:u w:val="single"/>
            <w:rtl w:val="0"/>
          </w:rPr>
          <w:t xml:space="preserve">kirk@kolodjifamilylaw.com</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8</w:t>
        <w:br w:type="textWrapping"/>
        <w:t xml:space="preserve">X By Electronic Service (CRC 2.251). Based on a written agreement to accept service  electronically, I caused the document to be served at the email address listed above. 9</w:t>
        <w:br w:type="textWrapping"/>
        <w:t xml:space="preserve">—OR—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By Mail. I deposited the document in the mail at Altadena, California, with postage fully</w:t>
        <w:br w:type="textWrapping"/>
        <w:t xml:space="preserve">10</w:t>
        <w:br w:type="textWrapping"/>
        <w:t xml:space="preserve">prepaid, addressed as above.</w:t>
        <w:br w:type="textWrapping"/>
        <w:t xml:space="preserve">11</w:t>
        <w:br w:type="textWrapping"/>
        <w:t xml:space="preserve">—OR—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By Personal Service. I personally delivered the document to the address above. 12</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 declare under penalty of perjury under the laws of the State of California that the foregoing is</w:t>
        <w:br w:type="textWrapping"/>
        <w:t xml:space="preserve">13</w:t>
        <w:br w:type="textWrapping"/>
        <w:t xml:space="preserve">true and correct.</w:t>
        <w:br w:type="textWrapping"/>
        <w:t xml:space="preserve">14</w:t>
        <w:br w:type="textWrapping"/>
        <w:t xml:space="preserve">Samera Arkel</w:t>
        <w:br w:type="textWrapping"/>
        <w:t xml:space="preserve">15</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San Antonio Texas</w:t>
        <w:br w:type="textWrapping"/>
        <w:t xml:space="preserve">16</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17</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18</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19</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20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21</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23</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24</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25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26</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27</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28</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OPPOSITION TO ATTORNEY’S FEES</w:t>
      </w:r>
      <w:r w:rsidDel="00000000" w:rsidR="00000000" w:rsidRPr="00000000">
        <w:rPr>
          <w:rtl w:val="0"/>
        </w:rPr>
        <w:br w:type="textWrapping"/>
        <w:t xml:space="preserve">29</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30</w:t>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irk@kolodjifamilylaw.com" TargetMode="Externa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http://www.thefoxxfirm.com" TargetMode="External"/><Relationship Id="rId8" Type="http://schemas.openxmlformats.org/officeDocument/2006/relationships/hyperlink" Target="mailto:statefarmfireclaims@statefa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