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n7vmg3ol0g" w:id="0"/>
      <w:bookmarkEnd w:id="0"/>
      <w:r w:rsidDel="00000000" w:rsidR="00000000" w:rsidRPr="00000000">
        <w:rPr>
          <w:b w:val="1"/>
          <w:bCs w:val="1"/>
          <w:rtl w:val="0"/>
        </w:rPr>
        <w:t xml:space="preserve">11-19_Sayegh vs Sayegh DVRO_Custody and Support Hearing_Summary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xv81ch69ir1" w:id="1"/>
      <w:bookmarkEnd w:id="1"/>
      <w:r w:rsidDel="00000000" w:rsidR="00000000" w:rsidRPr="00000000">
        <w:rPr>
          <w:b w:val="1"/>
          <w:bCs w:val="1"/>
          <w:rtl w:val="0"/>
        </w:rPr>
        <w:t xml:space="preserve">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https://otter.ai/u/TNE-akKkOxGkARKCv0ucuiu7Y-4?view=summary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court hearing addressed issues of visitation, custody, and financial support. Dad picked up the child without mom's consent, leading to a request for supervised visits. Dad completed four DVRO classes and was granted joint legal custody with mom having tie-breaking authority. The court ordered temporary spousal and child support based on Dad's reported income of $50,000 per month, but questioned his credibility. Dad's actual income was estimated at $8,000 per month. The court also ordered Dad to pay $7,500 within 30 days and $162.30 per month for 36 months in attorney fees. The hearing concluded with pending issues on exclusive use of the home.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linlooftdjv" w:id="2"/>
      <w:bookmarkEnd w:id="2"/>
      <w:r w:rsidDel="00000000" w:rsidR="00000000" w:rsidRPr="00000000">
        <w:rPr>
          <w:b w:val="1"/>
          <w:bCs w:val="1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 Pay $7,500 in attorney's fees within 30 days.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 Pay the remaining $5,847 in attorney's fees at $162.30 per month for 36 months.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 Pay $1,530 in child support and $1,530 in spousal support on the 5th of each month.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 Pay $1,530 in child support and $1,530 in spousal support on the 20th of each month.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098sq5r4wn9" w:id="3"/>
      <w:bookmarkEnd w:id="3"/>
      <w:r w:rsidDel="00000000" w:rsidR="00000000" w:rsidRPr="00000000">
        <w:rPr>
          <w:b w:val="1"/>
          <w:bCs w:val="1"/>
          <w:rtl w:val="0"/>
        </w:rPr>
        <w:t xml:space="preserve">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ecncko3ck15k" w:id="4"/>
      <w:bookmarkEnd w:id="4"/>
      <w:r w:rsidDel="00000000" w:rsidR="00000000" w:rsidRPr="00000000">
        <w:rPr>
          <w:b w:val="1"/>
          <w:bCs w:val="1"/>
          <w:rtl w:val="0"/>
        </w:rPr>
        <w:t xml:space="preserve">Dispute Over Visitation and Supervision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discusses an incident where Dad picked up the child without mom's consent, leading to a request for supervised visits.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questions the necessity of changing the visitation arrangement based on one incident, suggesting it might be a miscommunication.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argues that Dad did not wait for a response from mom before picking up the child, causing her distress.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is not inclined to make drastic changes based on one incident and inquires about Dad's completion of DVRO classes.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q2t17wuoq862" w:id="5"/>
      <w:bookmarkEnd w:id="5"/>
      <w:r w:rsidDel="00000000" w:rsidR="00000000" w:rsidRPr="00000000">
        <w:rPr>
          <w:b w:val="1"/>
          <w:bCs w:val="1"/>
          <w:rtl w:val="0"/>
        </w:rPr>
        <w:t xml:space="preserve">DVRO Classes and Custody 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confirms Dad has enrolled in and completed four DVRO classes, which influences the court's decision.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4 mentions a hearing on January 14 and a motion for reconsideration set for January 6.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decides on joint legal custody with mom having tie-breaking authority, citing sufficient evidence to rebut sole legal custody.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acknowledges minor incidents are likely but emphasizes the importance of Dad's involvement in the child's life.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uycvusw0vxu" w:id="6"/>
      <w:bookmarkEnd w:id="6"/>
      <w:r w:rsidDel="00000000" w:rsidR="00000000" w:rsidRPr="00000000">
        <w:rPr>
          <w:b w:val="1"/>
          <w:bCs w:val="1"/>
          <w:rtl w:val="0"/>
        </w:rPr>
        <w:t xml:space="preserve">Income Dispute and Financial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questions the respondent's income of $50,000 per month and requests evidence to support this claim.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presents checks totaling $191,000 received from May 2025 to August 2025, calculating the respondent's monthly income.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3 and Speaker 2 discuss the respondent's income from Perfected Claims and the need for hard evidence.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requests the court to use a minimum of $25,000 per month as temporary support, citing the respondent's credibility issues.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ybtpn76z8itt" w:id="7"/>
      <w:bookmarkEnd w:id="7"/>
      <w:r w:rsidDel="00000000" w:rsidR="00000000" w:rsidRPr="00000000">
        <w:rPr>
          <w:b w:val="1"/>
          <w:bCs w:val="1"/>
          <w:rtl w:val="0"/>
        </w:rPr>
        <w:t xml:space="preserve">Credibility Issues and Business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expresses skepticism about the respondent's claimed income and expenses, seeking hard evidence.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argues that the respondent's income and expense declaration lacks a profit and loss statement, placing the burden on him to prove his expenses.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3 mentions the respondent's corporate tax return showing very little income, offering to obtain a profit and loss statement.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orders temporary support based on the respondent's reported income and expenses, acknowledging the need for further evidence.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yntstt8byi45" w:id="8"/>
      <w:bookmarkEnd w:id="8"/>
      <w:r w:rsidDel="00000000" w:rsidR="00000000" w:rsidRPr="00000000">
        <w:rPr>
          <w:b w:val="1"/>
          <w:bCs w:val="1"/>
          <w:rtl w:val="0"/>
        </w:rPr>
        <w:t xml:space="preserve">Temporary Support Orders and Attorney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orders the respondent to pay $7,500 within 30 days and $162.30 per month for 36 months for attorney fees.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3 raises concerns about the respondent's ability to pay the ordered support, given his financial situation.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acknowledges the extensive work done on the DVRO case and orders the respondent to pay $7,500 within 30 days.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clarifies that the respondent must pay the ordered support without deducting other expenses, such as health insurance and vehicle payments.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6wd0rvnkh82f" w:id="9"/>
      <w:bookmarkEnd w:id="9"/>
      <w:r w:rsidDel="00000000" w:rsidR="00000000" w:rsidRPr="00000000">
        <w:rPr>
          <w:b w:val="1"/>
          <w:bCs w:val="1"/>
          <w:rtl w:val="0"/>
        </w:rPr>
        <w:t xml:space="preserve">Exclusive Use of the Home and Final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1 raises the issue of mom getting exclusive use of the home, but Speaker 2 requires mom's presence for a stipulation.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orders spousal support and child support based on the FL 150, emphasizing the need for mom's presence for further orders.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4 offers to draft the order after hearing, acknowledging the importance of accurate financial information.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 2 concludes the hearing, emphasizing the need for accurate financial evidence and the importance of following court orders.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tter.ai/u/TNE-akKkOxGkARKCv0ucuiu7Y-4?view=summ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