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14:07:59 -0800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Investment Opportunity Document (attachment#1)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 Raise:</w:t>
        <w:tab/>
        <w:tab/>
        <w:t xml:space="preserve">$10M</w:t>
        <w:tab/>
        <w:tab/>
        <w:tab/>
        <w:tab/>
        <w:t xml:space="preserve">Total Shares Issued: 1,000,000,000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Capital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Equity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 Price / Unit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Appreciation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Round 1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$10m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40%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400m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$0.025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$25m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restructuring of current operations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provide a streamlined, efficient, and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 generational revenue operation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is able to optimize profits across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entirety of the cannabis supply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(Seed-To-Sale).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new operating group will manage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divisions that focus maximizing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shareholder value.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Real Estate division focuses 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development of the Groups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properties and maintaining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and operational capacity.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Seed-To-Sale division focuses 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Cannabis state compliance, product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 and distribution, and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sales and marketing of branded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cannabis assets.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Seed-To-Sale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Estate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Adelanto commercial real estate market where our core operations are located has exploded in the last 15 years according to Coldwell Banker Commercial: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 price PSF has increased 722%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 rates have increased 917%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1286%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Group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Consolidate Financials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Operations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Cultivation –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Delivery –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Manufacturing – 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Estate – 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Cultivation &amp; Manufacturing As A Service – 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Leased Cultivation &amp; Manufacturing Facilities – Acquisition of real estate can be leased in its barebone capacity or developed with our proprietary technology to fit the needs of clientsnt Opportunity Document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Tony Oliver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Investor, Technology &amp; Business Advisor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￼￼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