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12:28:07 -0800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SUBJECT: Case 25PDFL01441 - Evidence Analysis Complete for November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Attorney H Bui,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well. I am writing to provide strategic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briefing following the activation of our attorney-client relationship and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completion of comprehensive evidence analysis for our November 19, 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my Chief Domestic Violence Advocate, has completed analysis of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files obtained through discovery, revealing three significant pieces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that create opportunities for strategic motions: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Prosecution Blueprint (September 29, 2025)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Freddy's self-email planning criminal charges against me,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allegations that my cancer diagnosis was fraudulent to obtain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"Defrauding Another of Property by False Pretenses (PC §532)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Her cancer hoax to obtain money and property. Damages You Could Claim: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Economic... money fraudulently taken ($100k+)"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suggests we should consider criminal defense counsel consultation 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order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Dissipation During Proceedings (October 16-30, 2025)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Alta Design Works LLC actively negotiating payments after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 filing, without court disclosure.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"Payment to Alta needs to be at phase 2. Also the concern of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'what if GCs pay alta and then later... the GCs are screwed since they paid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already"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potential grounds for asset freeze motions and FL-142 accuracy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Documentation Issues ($704,000 Lien)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shows father's lien with no payment history over 13 years, with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promissory note reportedly destroyed in fire.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quote: "Father's lien: $460,000 at 4% simple interest from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7/20/2012, NO PAYMENTS, payoff ≈ $704,493... The promissory note itself was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house at the time of the Altadena fire and was among the documents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destroyed"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warrants review of property characterization and authentication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Assessment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Eric's analysis indicates we have strong evidentiary positioning with: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documentation of opponent's strategy through discovery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40+ potential subpoena targets identified and prioritized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motion opportunities for the November 19 hearing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foundation for both settlement negotiations and trial preparation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Available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has prepared comprehensive materials for attorney review: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Documents: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EXECUTIVE_SUMMARY_H_BUI_NOVEMBER_19.md - Quick reference with key evidence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README_START_HERE.md - Complete case navigation and strategy overview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COMPREHENSIVE_STRATEGIC_ANALYSIS_INTEGRATED.md - Detailed analysis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Materials: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ranking tables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analysis with critical dates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Subpoena target evaluation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and admissibility review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Preparation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15 days remaining, Eric recommends we discuss: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filing priorities and timelines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completion strategies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witness consultations if needed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Settlement positioning versus trial preparation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strategic recommendations prioritize the safety and welfare of Mia (13)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Jordan (6).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Request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appreciate scheduling a meeting this week to review the evidence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and discuss our approach for the November 19 hearing. Eric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the key strategic points can be covered in about 30 minutes, with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materials available for comprehensive review.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availability: Opened mornings early afternoon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analysis suggests we have strong positioning for both settlement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negotiations and trial preparation. All materials maintain proper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attorney-client privilege and work product protection.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representation. I look forward to working together 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matter.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No. 25PDFL01441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310-384-8404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Jones, Chief Domestic Violence Advocate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prepared under attorney-client privilege and work product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doctrine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Available: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EXECUTIVE_SUMMARY_H_BUI_NOVEMBER_19.md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README_START_HERE.md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evidence package materials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