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Subject</w:t>
      </w:r>
      <w:r w:rsidDel="00000000" w:rsidR="00000000" w:rsidRPr="00000000">
        <w:rPr>
          <w:rtl w:val="0"/>
        </w:rPr>
        <w:t xml:space="preserve">: (25PDFL01441) Opposition Pages 1-15 </w:t>
      </w:r>
      <w:r w:rsidDel="00000000" w:rsidR="00000000" w:rsidRPr="00000000">
        <w:rPr>
          <w:b w:val="1"/>
          <w:bCs w:val="1"/>
          <w:rtl w:val="0"/>
        </w:rPr>
        <w:t xml:space="preserve">From</w:t>
      </w:r>
      <w:r w:rsidDel="00000000" w:rsidR="00000000" w:rsidRPr="00000000">
        <w:rPr>
          <w:rtl w:val="0"/>
        </w:rPr>
        <w:t xml:space="preserve">: </w:t>
      </w:r>
      <w:hyperlink r:id="rId6">
        <w:r w:rsidDel="00000000" w:rsidR="00000000" w:rsidRPr="00000000">
          <w:rPr>
            <w:color w:val="1155cc"/>
            <w:u w:val="single"/>
            <w:rtl w:val="0"/>
          </w:rPr>
          <w:t xml:space="preserve">donotreply@lacourt.org</w:t>
        </w:r>
      </w:hyperlink>
      <w:r w:rsidDel="00000000" w:rsidR="00000000" w:rsidRPr="00000000">
        <w:rPr>
          <w:rtl w:val="0"/>
        </w:rPr>
        <w:t xml:space="preserve"> </w:t>
      </w:r>
      <w:r w:rsidDel="00000000" w:rsidR="00000000" w:rsidRPr="00000000">
        <w:rPr>
          <w:b w:val="1"/>
          <w:bCs w:val="1"/>
          <w:rtl w:val="0"/>
        </w:rPr>
        <w:t xml:space="preserve">To</w:t>
      </w:r>
      <w:r w:rsidDel="00000000" w:rsidR="00000000" w:rsidRPr="00000000">
        <w:rPr>
          <w:rtl w:val="0"/>
        </w:rPr>
        <w:t xml:space="preserve">: </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 </w:t>
      </w:r>
      <w:r w:rsidDel="00000000" w:rsidR="00000000" w:rsidRPr="00000000">
        <w:rPr>
          <w:b w:val="1"/>
          <w:bCs w:val="1"/>
          <w:rtl w:val="0"/>
        </w:rPr>
        <w:t xml:space="preserve">Date Sent</w:t>
      </w:r>
      <w:r w:rsidDel="00000000" w:rsidR="00000000" w:rsidRPr="00000000">
        <w:rPr>
          <w:rtl w:val="0"/>
        </w:rPr>
        <w:t xml:space="preserve">: Tuesday, November 25, 2025 8:29:34 PM GMT-08:00 </w:t>
      </w:r>
      <w:r w:rsidDel="00000000" w:rsidR="00000000" w:rsidRPr="00000000">
        <w:rPr>
          <w:b w:val="1"/>
          <w:bCs w:val="1"/>
          <w:rtl w:val="0"/>
        </w:rPr>
        <w:t xml:space="preserve">Date Received</w:t>
      </w:r>
      <w:r w:rsidDel="00000000" w:rsidR="00000000" w:rsidRPr="00000000">
        <w:rPr>
          <w:rtl w:val="0"/>
        </w:rPr>
        <w:t xml:space="preserve">: Tuesday, November 25, 2025 8:29:41 PM GMT-08:00 </w:t>
      </w:r>
      <w:r w:rsidDel="00000000" w:rsidR="00000000" w:rsidRPr="00000000">
        <w:rPr>
          <w:b w:val="1"/>
          <w:bCs w:val="1"/>
          <w:rtl w:val="0"/>
        </w:rPr>
        <w:t xml:space="preserve">Attachments</w:t>
      </w:r>
      <w:r w:rsidDel="00000000" w:rsidR="00000000" w:rsidRPr="00000000">
        <w:rPr>
          <w:rtl w:val="0"/>
        </w:rPr>
        <w:t xml:space="preserve">: O139157757.pdf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Case Title: SAYEGH, FAHED VS SAYEGH, NUHA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Pages: 1-15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 you for using the Los Angeles Superior Court's Online 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 receipt number is PA-2025-334452486.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documents are attached to this email. Please email any questions or comments to </w:t>
      </w:r>
      <w:hyperlink r:id="rId8">
        <w:r w:rsidDel="00000000" w:rsidR="00000000" w:rsidRPr="00000000">
          <w:rPr>
            <w:color w:val="1155cc"/>
            <w:u w:val="single"/>
            <w:rtl w:val="0"/>
          </w:rPr>
          <w:t xml:space="preserve">onlineservices@lacourt.org</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 16</w:t>
        <w:br w:type="textWrapping"/>
        <w:t xml:space="preserve">1234567891011121314151617181920212223242526272829</w:t>
        <w:br w:type="textWrapping"/>
        <w:t xml:space="preserve">Electronically FAHED FREDDY SAYEGH 407 E. Woodbury Rd. Altadena, California 91001 FILED by</w:t>
        <w:br w:type="textWrapping"/>
        <w:t xml:space="preserve">Superior Court of California, County of Los Angeles 11/12/2025 8:00 AM Telephone: (310) 877-5033 David W. Slayton, Clerk of Court </w:t>
      </w:r>
      <w:hyperlink r:id="rId9">
        <w:r w:rsidDel="00000000" w:rsidR="00000000" w:rsidRPr="00000000">
          <w:rPr>
            <w:color w:val="1155cc"/>
            <w:u w:val="single"/>
            <w:rtl w:val="0"/>
          </w:rPr>
          <w:t xml:space="preserve">freddy@thefoxxfirm.com</w:t>
        </w:r>
      </w:hyperlink>
      <w:r w:rsidDel="00000000" w:rsidR="00000000" w:rsidRPr="00000000">
        <w:rPr>
          <w:rtl w:val="0"/>
        </w:rPr>
        <w:br w:type="textWrapping"/>
        <w:t xml:space="preserve">IN PRO PER</w:t>
        <w:br w:type="textWrapping"/>
        <w:t xml:space="preserve">SUPERIOR COURT OF THE STATE OF CALIFORNIA</w:t>
        <w:br w:type="textWrapping"/>
        <w:t xml:space="preserve">COUNTY OF LOS ANGELES</w:t>
        <w:br w:type="textWrapping"/>
        <w:t xml:space="preserve">FAHED SAYEGH</w:t>
        <w:br w:type="textWrapping"/>
        <w:t xml:space="preserve">CASE NO: 25PDFL01441 (r/w 25PDRO01246 (related dv matter) Petitioner,</w:t>
        <w:br w:type="textWrapping"/>
        <w:t xml:space="preserve">(r/w 25PDFL01460 (related dv matter)</w:t>
        <w:br w:type="textWrapping"/>
        <w:t xml:space="preserve">v.</w:t>
        <w:br w:type="textWrapping"/>
      </w:r>
      <w:r w:rsidDel="00000000" w:rsidR="00000000" w:rsidRPr="00000000">
        <w:rPr>
          <w:b w:val="1"/>
          <w:bCs w:val="1"/>
          <w:rtl w:val="0"/>
        </w:rPr>
        <w:t xml:space="preserve">PETITIONER’S OPPOSITION TO</w:t>
      </w:r>
      <w:r w:rsidDel="00000000" w:rsidR="00000000" w:rsidRPr="00000000">
        <w:rPr>
          <w:rtl w:val="0"/>
        </w:rPr>
        <w:br w:type="textWrapping"/>
        <w:t xml:space="preserve">NUHA SAYEGH,</w:t>
        <w:br w:type="textWrapping"/>
      </w:r>
      <w:r w:rsidDel="00000000" w:rsidR="00000000" w:rsidRPr="00000000">
        <w:rPr>
          <w:b w:val="1"/>
          <w:bCs w:val="1"/>
          <w:rtl w:val="0"/>
        </w:rPr>
        <w:t xml:space="preserve">RESPONDENTS’S REQUEST FOR ATTORNEY’S FEES</w:t>
      </w:r>
      <w:r w:rsidDel="00000000" w:rsidR="00000000" w:rsidRPr="00000000">
        <w:rPr>
          <w:rtl w:val="0"/>
        </w:rPr>
        <w:t xml:space="preserve"> (Fam. Code § 6344)</w:t>
      </w:r>
      <w:r w:rsidDel="00000000" w:rsidR="00000000" w:rsidRPr="00000000">
        <w:rPr>
          <w:b w:val="1"/>
          <w:bCs w:val="1"/>
          <w:rtl w:val="0"/>
        </w:rPr>
        <w:t xml:space="preserve">;</w:t>
      </w:r>
      <w:r w:rsidDel="00000000" w:rsidR="00000000" w:rsidRPr="00000000">
        <w:rPr>
          <w:rtl w:val="0"/>
        </w:rPr>
        <w:t xml:space="preserve"> Respondent.</w:t>
        <w:br w:type="textWrapping"/>
      </w:r>
      <w:r w:rsidDel="00000000" w:rsidR="00000000" w:rsidRPr="00000000">
        <w:rPr>
          <w:b w:val="1"/>
          <w:bCs w:val="1"/>
          <w:rtl w:val="0"/>
        </w:rPr>
        <w:t xml:space="preserve">MEMORANDUM OF POINTS &amp; AUTHORITIES; DECLARATION OF FAHED “FREDDY” SAYEGH; [PROPOSED] ORDER</w:t>
      </w:r>
      <w:r w:rsidDel="00000000" w:rsidR="00000000" w:rsidRPr="00000000">
        <w:rPr>
          <w:rtl w:val="0"/>
        </w:rPr>
        <w:br w:type="textWrapping"/>
      </w:r>
      <w:r w:rsidDel="00000000" w:rsidR="00000000" w:rsidRPr="00000000">
        <w:rPr>
          <w:b w:val="1"/>
          <w:bCs w:val="1"/>
          <w:rtl w:val="0"/>
        </w:rPr>
        <w:t xml:space="preserve">I. Introduction</w:t>
      </w:r>
      <w:r w:rsidDel="00000000" w:rsidR="00000000" w:rsidRPr="00000000">
        <w:rPr>
          <w:rtl w:val="0"/>
        </w:rPr>
        <w:br w:type="textWrapping"/>
        <w:t xml:space="preserve">Respondent seeks fees under Family Code § 6344 using a single invoice that mixes DVRO tasks</w:t>
        <w:br w:type="textWrapping"/>
        <w:t xml:space="preserve">with dissolution/financial-disclosure work. Section 6344 authorizes only reasonable DVRO-</w:t>
        <w:br w:type="textWrapping"/>
        <w:t xml:space="preserve">related fees and requires the court to consider ability to pay. The court should (1) exclude non-</w:t>
        <w:br w:type="textWrapping"/>
        <w:t xml:space="preserve">DVRO entries (e.g., dissolution response/UCCJEA, first-appearance fee, FL-150 work and</w:t>
        <w:br w:type="textWrapping"/>
        <w:t xml:space="preserve">related e-filings); and (2) reduce the DVRO remainder for duplication/over-staffing of a single</w:t>
        <w:br w:type="textWrapping"/>
        <w:t xml:space="preserve">hearing, block-billing, administrative time, and travel billed at full rates. On this record, a steep</w:t>
        <w:br w:type="textWrapping"/>
        <w:t xml:space="preserve">reduction is warranted and any award should be tightly capped.</w:t>
        <w:br w:type="textWrapping"/>
        <w:t xml:space="preserve">Numbers at a glance (from Respondent’s invoice and exhibits):</w:t>
        <w:br w:type="textWrapping"/>
        <w:t xml:space="preserve">• Total billed: $14,473.64</w:t>
        <w:br w:type="textWrapping"/>
        <w:t xml:space="preserve">• Minimum non-DVRO carve-outs to exclude now: $2,237.64 (dissolution Response+UCCJEA;</w:t>
        <w:br w:type="textWrapping"/>
        <w:t xml:space="preserve">first-appearance fee; FL-150/paystub tasks; associated e-filings)</w:t>
        <w:br w:type="textWrapping"/>
      </w:r>
      <w:r w:rsidDel="00000000" w:rsidR="00000000" w:rsidRPr="00000000">
        <w:rPr>
          <w:b w:val="1"/>
          <w:bCs w:val="1"/>
          <w:rtl w:val="0"/>
        </w:rPr>
        <w:t xml:space="preserve">OPPOSITION TO ATTORNEY’S FEES</w:t>
      </w:r>
      <w:r w:rsidDel="00000000" w:rsidR="00000000" w:rsidRPr="00000000">
        <w:rPr>
          <w:rFonts w:ascii="Arial Unicode MS" w:cs="Arial Unicode MS" w:eastAsia="Arial Unicode MS" w:hAnsi="Arial Unicode MS"/>
          <w:rtl w:val="0"/>
        </w:rPr>
        <w:br w:type="textWrapping"/>
        <w:t xml:space="preserve">2 / 16</w:t>
        <w:br w:type="textWrapping"/>
        <w:t xml:space="preserve">1234567891011121314151617181920212223242526272829</w:t>
        <w:br w:type="textWrapping"/>
        <w:t xml:space="preserve">• DVRO baseline before reasonableness cuts: ≈ $12,236.00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Reasonableness reductions requested: removal of duplicative staffing for the 10/15 hearing;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strike/halve travel billed at full rates; strike clerical/admin time; apply a 25–40% haircut 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block-billed entries.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Proposed cap (post-reductions): not to exceed $4,000.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II. Legal Standard (Lodestar; Reasonableness)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fee setting inquiry in California ordinarily begins with the ‘lodestar,’ i.e., the number of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hours reasonably expended multiplied by the reasonable hourly rate.” PLCM Group, Inc. v.</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Drexler, 22 Cal.4th 1084, 1095 (2000). Courts consider the prevailing market rate and may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adjust the lodestar for case-specific factors. See Serrano v. Priest, 20 Cal.3d 25, 48–49 (1977).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issue is the reasonable value of services, not the amount billed. Akins v. Enterprise Rent-A-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Car Co., 79 Cal.App.4th 1127, 1134 (2000). See also Iverson v. Spang Indus., Inc., 45</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Cal.App.3d 303, 312 (1975) (court assesses complexity, importance, skill, and time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actually/necessarily consumed).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Under Family Code § 6344, the court (1) limits fees to DVRO work; (2) considers ability to pay;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(3) awards only reasonable, necessary fees.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III. Apportionment: Exclude Non-DVRO Work Now</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Respondent’s invoice includes charges that are not compensable under § 6344, including: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Dissolution Response &amp; UCCJEA drafting/filing;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First-appearance fee in the dissolution;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Financial disclosure work (FL-150, paystub review/organization);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 Related e-filing/filing-service entries.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Those tasks are governed, if at all, by Family Code §§ 2030–2032 on a proper noticed motion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with the required supporting forms (e.g., FL-319/FL-158). The court should exclude at least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$2,237.64 now and deny those items without prejudice to a separate § 2030/2032 request.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IV. Duplicative/Over-Staffing for a Single Hearing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10/15 DVRO hearing was staffed by three timekeepers (lead counsel, associate, 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 16</w:t>
        <w:br w:type="textWrapping"/>
        <w:t xml:space="preserve">1234567891011121314151617181920212223242526272829</w:t>
        <w:br w:type="textWrapping"/>
        <w:t xml:space="preserve">assistant) with overlapping travel, preparation, and “assist at hearing” entries. Courts routinely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allow one timekeeper for a short, single-issue hearing and cut secondary personnel substantially.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court should: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Allow lead counsel’s reasonable appearance time;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Disallow the assistant’s hearing time entirely; 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Reduce the associate’s same-day time by ≥75% (or allow only a minimal prep slice if</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independently necessary).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V. Block-Billing and Vague Entries — Percentage Haircut</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Block-billing is not per se improper, but where separation between compensable (DVRO) and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non-compensable (dissolution) work is necessary, courts may apply a percentage reduction or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disregard entries that prevent meaningful review. Jaramillo v. County of Orange, 200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Cal.App.4th 811, 830 (2011); Heritage Pacific Financial, LLC v. Monroy, 215 Cal.App.4th 972,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1010 (2013); Bell v. Vista Unified Sch. Dist., 82 Cal.App.4th 672, 689 (2001); Lunada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Biomedical v. Nunez, 230 Cal.App.4th 459, 488 (2014).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Examples (from the invoice) include multi-hour blocks such as: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“Revise Supplemental DVRO Declaration; prepare Exhibits” — 7.5 h (associate);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“Draft chronology of history; preparation for DVRO hearing” — 5.0 h (associate).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25–40% haircut to those blocks is appropriate.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VI. Administrative/Clerical Time and Travel at Full Rates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Entries for e-filings, file updates, calendaring, and court service are clerical and should be struck</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or billed at a non-attorney rate. Travel billed at full attorney rates should be reduced by 50% or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disallowed when duplicative with multiple staff traveling to the same appearance.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VII. Ability to Pay</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Section 6344 requires consideration of the parties’ relative financial circumstances. Petitioner’s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FL-150 and supporting exhibits show constrained cash flow and significant fixed obligations.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That factor supports denying or substantially reducing any fee award (particularly after excluding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non-DVRO work and applying the above reductions).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 / 16</w:t>
        <w:br w:type="textWrapping"/>
        <w:t xml:space="preserve">1234567891011121314151617181920212223242526272829</w:t>
        <w:br w:type="textWrapping"/>
      </w:r>
      <w:r w:rsidDel="00000000" w:rsidR="00000000" w:rsidRPr="00000000">
        <w:rPr>
          <w:b w:val="1"/>
          <w:bCs w:val="1"/>
          <w:rtl w:val="0"/>
        </w:rPr>
        <w:t xml:space="preserve">SUPPLEMENTAL CLARIFICATION OF ACCOUNTS AND EVENT EXPENDITURES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Counsel’s Mischaracterizations of Accounts and Income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Counsel, through his client, makes demonstrably false assertions and substantial exaggerations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regarding my finances. The bank statements at issue are business records for The Foxx Law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Group, PLC, not personal income. That entity is being wound down; it has no active clients, no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ongoing revenue, and no residual going-concern value. Its website (</w:t>
      </w:r>
      <w:hyperlink r:id="rId10">
        <w:r w:rsidDel="00000000" w:rsidR="00000000" w:rsidRPr="00000000">
          <w:rPr>
            <w:color w:val="1155cc"/>
            <w:u w:val="single"/>
            <w:rtl w:val="0"/>
          </w:rPr>
          <w:t xml:space="preserve">www.thefoxxfirm.com</w:t>
        </w:r>
      </w:hyperlink>
      <w:r w:rsidDel="00000000" w:rsidR="00000000" w:rsidRPr="00000000">
        <w:rPr>
          <w:rtl w:val="0"/>
        </w:rPr>
        <w:t xml:space="preserve">) has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been taken offline, and its Google and Yelp listings are marked “permanently closed.” The Foxx</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Law Group, PLC continues to show ordinary wind-down expenses—e.g., payroll/contractor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costs, rent, utilities, insurance, software/subscriptions, bookkeeping/accounting, taxes/filing fees,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office supplies, postage/courier, and equipment depreciation—until its books and taxes are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finalized and the entity is closed.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Respondent also knows I have been suspended from the practice of law and cannot rely 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attorney earnings. She further knows I do not own any Culver City property and do not receive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rent from such property, and that I do not own the Woodbury location; to the contrary, I pay rent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there (it was my former law-office space).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Insurance Reimbursements and Disaster-Response Activity</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Counsel misidentifies several checks as “income” when, in fact, they are insurance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reimbursements from State Farm totaling $62,527.73 for documented Eaton Fires losses (January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7, 2025), including fire and smoke damage remediation, roof and fence repair, pool rust damage,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spoiled food, and household-item losses. These were reimbursements for expenses I had already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advanced; they are not earnings or profit distributions. (See Exhibits A1: State Farm claim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summaries, contractor invoices/receipts, and corresponding bank statements tying each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reimbursement to the loss.)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Emergency Operations; 80+ Eaton Fire Events; In-Process Reconciliation</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Respondent erroneously alleges checks issued to a corporation are income. The checks issued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from Perfected Claims to The Foxx Law Group are to host Eaton Fire Disaster related events.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Each check were issued on different days for different amounts, these events began in February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5 / 16</w:t>
        <w:br w:type="textWrapping"/>
        <w:t xml:space="preserve">1234567891011121314151617181920212223242526272829</w:t>
        <w:br w:type="textWrapping"/>
        <w:t xml:space="preserve">up until the current day.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 the wake of the fires, I helped produce, assisted, or developed from the ground up each of</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these events on an emergency basis. We operated as The Foxx Law Group, PLC dba The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Altadena Coalition because there was no time to establish new banking and related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administrative accounts; the legacy firm account served only as a fiscal conduit for program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costs. Following more than 80 public events delivered on an emergency timetable, I had limited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capacity to reconcile every expenditure contemporaneously. A full reconciliation is underway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now. The checks shown in bank records span February through November; the dates shown are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issuance dates of reimbursements or vendor payments and do not represent the entire period of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work or program activity those checks cover. These transactions correspond to event and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recovery program costs, not personal income. I will provide a supplemental reconciliation ledger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mapping each check to its invoice(s), vendor, purpose, and program category upon completion of</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reconciliation.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Event &amp; Facilities Cost Detail (Categories for Exhibits) to build Altadena Resource Center</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Capital Equipment (one-time purchases; inventoried): sound system (powered speakers/PA,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subs, monitors, amps, digital mixers, wired/wireless microphones, DI boxes, stands, cabling,</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road/rack cases), lighting/rigging (LED washes/spots, pars, DMX controllers, truss and crank</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stands, stage decks/risers, safety hardware), backline/DJ gear, power and distribution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(generators, distro panels, cable ramps, heavy-gauge extensions, UPS), IT/AV (projectors,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screens, cameras for livestream, capture cards, routers/APs, SD media, tripods/gimbals),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storage/maintenance (cases, repair parts, consumables).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 Venue, Rentals &amp; Site Infrastructure: venue rentals (including Altadena Community Center),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tables/chairs, pipe &amp; drape, tents/canopies, staging, fencing/barricades, stanchions, signage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stands, heaters/fans/misters, sandbags/ground cover/cable mats, golf carts/UTVs with fuel and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delivery/pickup charges, temporary office/green room setup.</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 Public Safety, Compliance &amp; Insurance: event general liability and additional insureds;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security, overnight watch, bag checks; EMT/medical standby; fire extinguishers/PPE;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6 / 16</w:t>
        <w:br w:type="textWrapping"/>
        <w:t xml:space="preserve">1234567891011121314151617181920212223242526272829</w:t>
        <w:br w:type="textWrapping"/>
        <w:t xml:space="preserve">county/city/health/fire/building/sound permits and inspections; occupancy/load plans; ADA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accommodations (ramps/rails, compliant seating, ASL interpreters, assistive listening); police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detail/traffic control as required.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 Staffing, Contractors &amp; Professional Services: event producers, stage managers, audio</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engineers, lighting techs, site ops crew; graphic design/web/registration;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photography/videography/livestream; accounting/bookkeeping; payroll service fees; legal/risk</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review; permit expediters; translators/interpreters; outreach ambassadors; volunteer coordination.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 Program Delivery &amp; Outreach: printing (flyers, posters, programs, wayfinding/safety signage,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vinyl banners, QR placards); digital outreach (social ads/boosts, email platforms,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domains/hosting); registration platforms and merchant fees; youth activities materials; speaker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honoraria and travel stipends; food &amp; beverage for attendees/volunteers; community resource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table costs (tent space, linen, utilities, power).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 Operations, Sanitation &amp; Waste: portable restrooms (including ADA units) and hand-washing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stations; janitorial/cleaning; trash/recycling/green-waste hauling; back-of-house supplies (gaff</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tape, zip ties, batteries, gloves, first-aid restock, tool rentals).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 Altadena Community Center – Remodel &amp; Compliance Upgrades: electrical (additional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circuits/outlets, panel work, dedicated AV power, emergency/exit lighting), ADA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(ramps/railings, restroom clearances, signage), life-safety (illuminated exit signs, egress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hardware, fire-safety updates), interior improvements (drywall/patch/paint, flooring repairs,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acoustical panels, window films), HVAC service/filters, low-voltage/IT (network drops, cable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management, router/AP mounting, secure equipment closet), permit/inspection fees, contractor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invoices (electrical, carpentry, flooring, signage).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 Transportation &amp; Logistics: truck/van rentals, fuel, mileage, tolls/parking; courier/last-mile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delivery; loading dock fees.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 Ongoing Overhead (during wind-down/project period): rent for Woodbury community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workspace, utilities/internet/insurance, software/subscriptions (Adobe/Office/storage/project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management), bank service charges and payment-processor fees tied to registrations.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 / 16</w:t>
        <w:br w:type="textWrapping"/>
        <w:t xml:space="preserve">1234567891011121314151617181920212223242526272829</w:t>
        <w:br w:type="textWrapping"/>
      </w:r>
      <w:r w:rsidDel="00000000" w:rsidR="00000000" w:rsidRPr="00000000">
        <w:rPr>
          <w:b w:val="1"/>
          <w:bCs w:val="1"/>
          <w:rtl w:val="0"/>
        </w:rPr>
        <w:t xml:space="preserve">VIII. Requested Relief</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Petitioner respectfully requests that the Court: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 Exclude non-DVRO charges now (minimum $2,237.64 for dissolution/UCCJEA, first-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appearance fee, FL-150/paystub tasks, and related e-filings);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2. On the DVRO remainder (≈ $12,236.00), apply reductions for duplication/over-staffing,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block-billing, clerical/admin time, and travel, resulting in a cap not to exceed $4,000; and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3. Enter the proposed order below.</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IX. Supplemental Opposition to Amended Fee Request (Post‐Termination / Fee‐Collection</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Billing)</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Summary.</w:t>
      </w:r>
      <w:r w:rsidDel="00000000" w:rsidR="00000000" w:rsidRPr="00000000">
        <w:rPr>
          <w:rtl w:val="0"/>
        </w:rPr>
        <w:t xml:space="preserve"> After being terminated on October 15, Respondent’s counsel filed a new fee request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that is largely billing to collect fees (e.g., lis pendens paperwork, §271 notices, fee‐motion work,</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internal “update file,” and mail/e‐file charges). Those entries are not DVRO work, are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post‐termination, and are not compensable under Family Code § 6344. They must be excluded.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Petitioner incorporates the original opposition’s apportionment, block‐billing reductions,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administrative/clerical carve‐outs, and cap request, and supplements as follows: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I. § 6344 Allows Only DVRO‐Related Fees — Not Fee‐Collection or Dissolution Work</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Section 6344 authorizes reasonable DVRO‐related fees, considering ability to pay. It does not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authorize: (a) post‐termination time; (b) fee‐collection work (draft/serve §271 notices,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fee‐motion papers, “update file” entries); (c) dissolution/financial tasks (FL‐150/I&amp;E, dissolution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discovery, first‐appearance fees, lis pendens); or (d) clerical/admin and travel at full rates. The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Court should limit any award to pre‐October 15 DVRO time and then apply the reductions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shown in Petitioner’s original opposition.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II. Post‐Termination Entries (10/17–11/06) Are Fee‐Collection or Non‐DVRO and Must Be</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Stricken</w:t>
      </w:r>
      <w:r w:rsidDel="00000000" w:rsidR="00000000" w:rsidRPr="00000000">
        <w:rPr>
          <w:rtl w:val="0"/>
        </w:rPr>
        <w:t xml:space="preserve"> Respondent’s own invoices show that, after October 15, time was spent on collecting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fees and non‐DVRO tasks (lis pendens, §271 notice, dissolution discovery/financials, memo re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Borson, admin/e‐filing). Examples include entries on: 10/17 (discovery/I&amp;E), 10/20 (deeds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review; draft Notice of Lis Pendens), 10/23 (draft §271 sanctions notice; finalize lis pendens),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 / 16</w:t>
        <w:br w:type="textWrapping"/>
        <w:t xml:space="preserve">1234567891011121314151617181920212223242526272829</w:t>
        <w:br w:type="textWrapping"/>
        <w:t xml:space="preserve">10/24–10/28 (I&amp;E revisions; admin; emails), 10/31–11/04 (update file/admin), and 11/05–11/06</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(amended lis pendens; declaration/memo re Borson, e‐file/service). These are categorically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non‐DVRO and post‐discharge and must be excluded in full.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III. Even Pre‐10/15 DVRO Time Requires Reductions Already Briefed</w:t>
      </w:r>
      <w:r w:rsidDel="00000000" w:rsidR="00000000" w:rsidRPr="00000000">
        <w:rPr>
          <w:rtl w:val="0"/>
        </w:rPr>
        <w:t xml:space="preserve"> For any pre‐10/15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DVRO‐related remainder, the Court should apply the cuts shown in Petitioner’s original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opposition: duplicate staffing at the DVRO hearing; block‐billing haircuts (25–40%) where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DVRO and non‐DVRO work are commingled; clerical/admin tasks struck or billed at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non‐attorney rates; and travel at full attorney rate reduced by 50% or more.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IV. Ability to Pay</w:t>
      </w:r>
      <w:r w:rsidDel="00000000" w:rsidR="00000000" w:rsidRPr="00000000">
        <w:rPr>
          <w:rtl w:val="0"/>
        </w:rPr>
        <w:t xml:space="preserve"> Petitioner’s FL‐150 and declaration (insurance reimbursements; firm</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wind‐down; no attorney income) demonstrate constrained cash flow, supporting denial or sharp</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limitation of any award after the exclusions above.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Requested Relief</w:t>
      </w:r>
      <w:r w:rsidDel="00000000" w:rsidR="00000000" w:rsidRPr="00000000">
        <w:rPr>
          <w:rtl w:val="0"/>
        </w:rPr>
        <w:t xml:space="preserve"> Petitioner respectfully requests that the Court: (1) Exclude all entries dated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after October 15 as post‐termination and/or fee‐collection work (including lis pendens, §271</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notices, Borson‐related drafting, and associated admin/e‐file/postage); (2) Exclude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dissolution/financial‐disclosure work (Response/UCCJEA, first‐appearance fees, FL‐150/I&amp;E,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discovery) and all clerical/admin time and travel at full rates; and (3) On any pre‐10/15 DVRO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remainder, apply reductions for duplicate staffing and block‐billing (25–40% haircut) and enter 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tight cap (e.g., not to exceed $4,000).</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Exhibit Call‐Outs (Billing Entries to be Excluded)</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10/17 — dissolution discovery/I&amp;E preparation and revisions; not DVRO.</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10/20 — deeds review; draft Notice of Lis Pendens; not DVRO.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10/23 — draft §271 sanctions notice; finalize lis pendens; fee‐collection posture.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10/24–10/28 — I&amp;E, admin/“update file,” emails; not DVRO.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10/31–11/04 — “update file” entries preparing for 11/19; administrative.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11/05–11/06 — amended lis pendens; declaration/memo re Borson; pure fee‐collection.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9 / 16</w:t>
        <w:br w:type="textWrapping"/>
        <w:t xml:space="preserve">1234567891011121314151617181920212223242526272829</w:t>
        <w:br w:type="textWrapping"/>
      </w:r>
      <w:r w:rsidDel="00000000" w:rsidR="00000000" w:rsidRPr="00000000">
        <w:rPr>
          <w:b w:val="1"/>
          <w:bCs w:val="1"/>
          <w:rtl w:val="0"/>
        </w:rPr>
        <w:t xml:space="preserve">DECLARATION OF FAHED “FREDDY” SAYEGH IN SUPPORT OF OPPOSITION TO</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RESPONDENT’S REQUEST FOR ATTORNEY’S FEES (Fam. Code § 6344)</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 Fahed “Freddy” Sayegh, declare: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Identity &amp; Competence. I am the Petitioner in this action. I have personal knowledge of the facts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set forth herein and could and would testify competently to them if called as a witness.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Law Practice Status / Firm Wind-Down. I was suspended from the practice of law on February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14, 2025. My former entity, The Foxx Law Group, PLC (FLG), is being wound down. FLG has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no active clients, no ongoing revenue, and no going-concern value. The public-facing website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has been taken offline and the Google/Yelp pages state “permanently closed.” FLG continues to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incur ordinary wind-down expenses (rent, utilities, payroll/contractors, insurance,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software/subscriptions, bookkeeping/accounting, filing fees, office supplies, postage/courier, and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equipment depreciation) until its books and taxes are finalized and the entity is closed.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Accounts Are Business, Not Personal Income. The bank statements identified by Respondent are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business records of FLG, not my personal income. During the wind-down period and the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emergency response described below, the FLG account functioned solely as a fiscal conduit to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receive reimbursements and pay project expenses when it was not feasible to open new banking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immediately.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No Rental Income / Property Ownership. I do not own any property in Culver City and do not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receive rent from any such property. I also do not own the Woodbury location; I pay rent there (it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served as my former law-office/community workspace).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Eaton Fires &amp; Emergency Operations. On January 7, 2025, the Eaton Fires struck</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Altadena/Pasadena. From that time through the present, I helped produce, assisted, or developed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from the ground up more than 80 public events and community-response programs on an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emergency basis, operating as The Foxx Law Group, PLC dba The Altadena Coalition due to the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urgent need to act before new banking and back-office systems could be established.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Insurance Reimbursements (Not Income). Checks counsel labels as “income” are insurance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10 / 16</w:t>
        <w:br w:type="textWrapping"/>
        <w:t xml:space="preserve">1234567891011121314151617181920212223242526272829</w:t>
        <w:br w:type="textWrapping"/>
        <w:t xml:space="preserve">reimbursements from State Farm totaling $62,527.73 for documented fire/smoke losses from the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Eaton Fires, including remediation, roof and fence repair, pool rust damage, spoiled food, and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household-item losses. I had already advanced these costs; the deposits are reimbursements, not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earnings or profit distributions. True and correct copies of State Farm claim summaries,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contractor invoices/receipts, and corresponding bank statement entries (tying each</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reimbursement to the loss) are attached as Exhibits A-1)</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Event &amp; Facility Expenditures (Program Costs, Not Income). Deposits and disbursements in the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period after the fires correspond to restricted program budgets for community events and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recovery efforts, including: (a) capital equipment (professional sound system, lighting, truss,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staging, AV/IT, storage cases); (b) venue/rentals/site infrastructure (including Altadena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Community Center), tents, staging, fencing, signage stands, cable mats, heaters/fans,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carts/UTVs; (c) public safety/compliance/insurance (GL, security, EMT, permits/inspections,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ADA/ASL); (d) staffing/contractors (producers, engineers/techs, site ops,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graphics/web/registration, photo/video/livestream, accounting, permit expediters, translators,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outreach); (e) program delivery/outreach (printing/signage, digital ads, email platforms,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domains/hosting, merchant/registration fees, youth materials, speaker honoraria, food &amp;</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beverage); (f) operations/sanitation/waste (portable restrooms incl. ADA units, hand-wash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stations, janitorial, trash/recycling/green-waste hauling, back-of-house supplies); (g)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transportation/logistics (truck/van rentals, fuel, mileage, tolls/parking; courier/last-mile, dock</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fees); and (h) ongoing overhead during wind-down (Woodbury rent, utilities, internet, insurance;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software/subscriptions; processor/bank fees linked to registrations).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Altadena Community Center – Remodel &amp; Code Compliance. To safely host workshops and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town halls, funds were also used for remodel and compliance upgrades at the Altadena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Community Center, including electrical (added circuits/outlets, panel work, dedicated AV power,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emergency/exit lighting), ADA (ramps/railings, restroom clearances, signage), life-safety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(illuminated exit signs, egress hardware, fire-safety updates), interior improvements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(drywall/patch/paint, flooring repairs, acoustical treatment), HVAC servicing/filters, low-</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11 / 16</w:t>
        <w:br w:type="textWrapping"/>
        <w:t xml:space="preserve">1234567891011121314151617181920212223242526272829</w:t>
        <w:br w:type="textWrapping"/>
        <w:t xml:space="preserve">voltage/IT drops and cable management, and related permit/inspection fees. Contractor/vendor</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invoices and matching bank entries are attached in the D-series exhibits below.</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Reconciliation In Progress. Because these programs were delivered under emergency disaster-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response conditions, there was limited capacity to reconcile every expenditure in real time. We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are actively reconciling now. The checks reflected in bank records span February through</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November; the dates shown are issuance dates of reimbursements or vendor payments and do not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represent the full period of work or program activity covered. I will provide a supplemental</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reconciliation ledger mapping each check to its underlying invoice(s), vendor, purpose, and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program category upon completion of reconciliation.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Business-Records Foundation. The attached exhibits are kept in the ordinary course of business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by me and/or FLG. It is the regular practice to make and maintain such records at or near the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time of the acts or transactions recorded. (Evid. Code § 1271.)</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Ability to Pay (Context). My FL-150 reflects constrained cash flow and significant fixed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obligations. In light of the wind-down of my practice, lack of attorney income, and the non-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income nature of the deposits referenced above, I respectfully submit that Respondent’s fee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request should be confined to DVRO-related work and otherwise substantially reduced.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 declare under penalty of perjury under the laws of the State of California that the foregoing is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true and correct.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Executed on ______7th of November______, 2025, at San Antonio Texas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/Fahed Sayegh/</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Fahed “Freddy” Sayegh, Declarant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12 / 16</w:t>
        <w:br w:type="textWrapping"/>
        <w:t xml:space="preserve">1234567891011121314151617181920212223242526272829</w:t>
        <w:br w:type="textWrapping"/>
        <w:t xml:space="preserve">Providing Insurance and Financial Services Home Office, Bloomington, IL &amp;StateFarm October 18, 2025</w:t>
        <w:br w:type="textWrapping"/>
        <w:t xml:space="preserve">FAHED SAYEGH State Sete</w:t>
        <w:br w:type="textWrapping"/>
        <w:t xml:space="preserve">Fam</w:t>
        <w:br w:type="textWrapping"/>
        <w:t xml:space="preserve">PO BOX 106169</w:t>
        <w:br w:type="textWrapping"/>
        <w:t xml:space="preserve">RE: Claim Number: 75-79F4-04C</w:t>
        <w:br w:type="textWrapping"/>
        <w:t xml:space="preserve">Policy Number: 71-BW-U158-3 Location of Insured Date Property: of Loss: Type of Policy: 1226 SONOMA DR, ALTADENA, CA, 91001-3152</w:t>
        <w:br w:type="textWrapping"/>
        <w:t xml:space="preserve">January Homeowners 7, 2025</w:t>
        <w:br w:type="textWrapping"/>
        <w:t xml:space="preserve">Policy HW-2105</w:t>
        <w:br w:type="textWrapping"/>
        <w:t xml:space="preserve">Dear Fahed Sayegh and Faheda Sayegh:</w:t>
        <w:br w:type="textWrapping"/>
        <w:t xml:space="preserve">useful Please as allow we work this letter together to provide to bring you this an matter update to on a conclusion.</w:t>
        <w:br w:type="textWrapping"/>
        <w:t xml:space="preserve">your loss. | hope you find this information</w:t>
        <w:br w:type="textWrapping"/>
        <w:t xml:space="preserve">SUMMARY OF CLAIM STATUS</w:t>
        <w:br w:type="textWrapping"/>
        <w:t xml:space="preserve">Your Coverage A - Dwelling policy limit is $391,638.00 and Coverage A - Other Structures policy limit is $39,164.00.</w:t>
        <w:br w:type="textWrapping"/>
        <w:t xml:space="preserve">To date, we have provided you a claim payment of $62,527.73 based on the replacement cost value of the damaged property.</w:t>
        <w:br w:type="textWrapping"/>
        <w:t xml:space="preserve">If, before or during the rebuild, immediately or replace so that your we period may damaged review of repairs, property any possible you exceeds become additional the aware cost coverage that estimated, the actual for please your cost loss.</w:t>
        <w:br w:type="textWrapping"/>
        <w:t xml:space="preserve">contact to repair, us</w:t>
        <w:br w:type="textWrapping"/>
        <w:t xml:space="preserve">Coverage B - Personal Property</w:t>
        <w:br w:type="textWrapping"/>
        <w:t xml:space="preserve">Your You have Coverage received B - an Personal advance ver of e Additional Property of $19,173.60 policy Living limit towards Expen</w:t>
        <w:br w:type="textWrapping"/>
        <w:t xml:space="preserve">is $293,728.00. your Coverage B-Personal Property loss.</w:t>
        <w:br w:type="textWrapping"/>
        <w:t xml:space="preserve">13 / 16</w:t>
        <w:br w:type="textWrapping"/>
        <w:t xml:space="preserve">InsuranceCor Companies FAHEDA SAYEGH re IMs 1226 SONOMA DR, ALTADENA, CA, 91001-3152 Alon, GA 303486469 Fax 814936 9046</w:t>
        <w:br w:type="textWrapping"/>
      </w:r>
      <w:r w:rsidDel="00000000" w:rsidR="00000000" w:rsidRPr="00000000">
        <w:rPr>
          <w:b w:val="1"/>
          <w:bCs w:val="1"/>
          <w:rtl w:val="0"/>
        </w:rPr>
        <w:t xml:space="preserve">EXHIBIT A Sayegh Status Letter (Exact PDF Attached)</w:t>
      </w:r>
      <w:r w:rsidDel="00000000" w:rsidR="00000000" w:rsidRPr="00000000">
        <w:rPr>
          <w:rtl w:val="0"/>
        </w:rPr>
        <w:t xml:space="preserve"> </w:t>
      </w:r>
      <w:r w:rsidDel="00000000" w:rsidR="00000000" w:rsidRPr="00000000">
        <w:rPr>
          <w:i w:val="1"/>
          <w:iCs w:val="1"/>
          <w:rtl w:val="0"/>
        </w:rPr>
        <w:t xml:space="preserve">Submitted in original PDF format to preserve layout.</w:t>
      </w:r>
      <w:r w:rsidDel="00000000" w:rsidR="00000000" w:rsidRPr="00000000">
        <w:rPr>
          <w:rtl w:val="0"/>
        </w:rPr>
        <w:br w:type="textWrapping"/>
      </w:r>
      <w:r w:rsidDel="00000000" w:rsidR="00000000" w:rsidRPr="00000000">
        <w:rPr>
          <w:b w:val="1"/>
          <w:bCs w:val="1"/>
          <w:rtl w:val="0"/>
        </w:rPr>
        <w:t xml:space="preserve">OPPOSITION TO ATTORNEY’S FEES</w:t>
      </w:r>
      <w:r w:rsidDel="00000000" w:rsidR="00000000" w:rsidRPr="00000000">
        <w:rPr>
          <w:rtl w:val="0"/>
        </w:rPr>
        <w:br w:type="textWrapping"/>
        <w:t xml:space="preserve">1234567891011121314151617181920212223242526272829</w:t>
        <w:br w:type="textWrapping"/>
        <w:t xml:space="preserve">75-79F4-04C Page 2 October 18, 2025</w:t>
        <w:br w:type="textWrapping"/>
        <w:t xml:space="preserve">The Coverage Fair most Rental we C Value, - will Loss pay and of for Use.</w:t>
        <w:br w:type="textWrapping"/>
        <w:t xml:space="preserve">Prohibited the sum of Use all losses is the combined limit of liability under shown Additional in the Declarations Living Expense, for</w:t>
        <w:br w:type="textWrapping"/>
        <w:t xml:space="preserve">Your Coverage C - Loss of Use limit is incurred Additional Living Expenses.</w:t>
        <w:br w:type="textWrapping"/>
        <w:t xml:space="preserve">$117,491.00.To date, we have paid $85,086.15 for</w:t>
        <w:br w:type="textWrapping"/>
        <w:t xml:space="preserve">Living In order Expenses to continue which to address have not this been portion provided of your for loss, our review please and forward consideration.</w:t>
        <w:br w:type="textWrapping"/>
        <w:t xml:space="preserve">any incurred Additional</w:t>
        <w:br w:type="textWrapping"/>
        <w:t xml:space="preserve">Your policy states as follows:</w:t>
        <w:br w:type="textWrapping"/>
        <w:t xml:space="preserve">COVERAGE C -LOSS OF USE The Declarations Expense, most we Fair will for Rental pay Coverage for Value, the C sum and - Loss of Prohibited all of losses Use.</w:t>
        <w:br w:type="textWrapping"/>
        <w:t xml:space="preserve">combined Use is the under limit of Additional liability shown Living in the</w:t>
        <w:br w:type="textWrapping"/>
        <w:t xml:space="preserve">1. Additional to incurred Our become payment by uninhabitable, an Living is insured limited Expense. to to incurred maintain we When will pay costs their a the /oss normal for reasonable insured the shortest standard causes and of:</w:t>
        <w:br w:type="textWrapping"/>
        <w:t xml:space="preserve">of necessary living the residence for up increase to 24 premises months. in cost</w:t>
        <w:br w:type="textWrapping"/>
        <w:t xml:space="preserve">a. the time required to repair or replace the premises; b. the time required for your household to settle elsewhere; or c. 24 months. This period of time is not limited by the expiration of this policy. 8558 delay uninhabitable, 36 In the months, of or event the delays if Government a you, Joss we in the may acting insured reconstruction grant Code, in good arising an causes extension faith from process and the a of state with residence up that reasonable of to are emergency, 12 the additional premises result diligence, as of months, to defined circumstances</w:t>
        <w:br w:type="textWrapping"/>
        <w:t xml:space="preserve">become</w:t>
        <w:br w:type="textWrapping"/>
        <w:t xml:space="preserve">encounter for in a Section</w:t>
        <w:br w:type="textWrapping"/>
        <w:t xml:space="preserve">total a</w:t>
        <w:br w:type="textWrapping"/>
        <w:t xml:space="preserve">of</w:t>
        <w:br w:type="textWrapping"/>
        <w:t xml:space="preserve">beyond your control. Circumstances beyond your control include, but are not limited to:</w:t>
        <w:br w:type="textWrapping"/>
        <w:t xml:space="preserve">a. unavoidable construction permit delays; b. lack of necessary construction materials; or c. lack of available contractors to perform the necessary work. due Coverage We will to a not loss C pay - insured Loss more of than will Use. be the Any subtracted limit normal of liability from expenses shown any amount that in the are Declarations owed.</w:t>
        <w:br w:type="textWrapping"/>
        <w:t xml:space="preserve">reduced or discontinued</w:t>
        <w:br w:type="textWrapping"/>
        <w:t xml:space="preserve">for</w:t>
        <w:br w:type="textWrapping"/>
        <w:t xml:space="preserve">This stated Company above and does reserves not intend its right by this to assert letter to such waive additional any policy policy defenses defenses in addition at any time.</w:t>
        <w:br w:type="textWrapping"/>
        <w:t xml:space="preserve">to those</w:t>
        <w:br w:type="textWrapping"/>
        <w:t xml:space="preserve">If you have questions or need further assistance, please contact me at 866-787-8676, ext. 9619.</w:t>
        <w:br w:type="textWrapping"/>
      </w:r>
      <w:r w:rsidDel="00000000" w:rsidR="00000000" w:rsidRPr="00000000">
        <w:rPr>
          <w:b w:val="1"/>
          <w:bCs w:val="1"/>
          <w:rtl w:val="0"/>
        </w:rPr>
        <w:t xml:space="preserve">OPPOSITION TO ATTORNEY’S FEES</w:t>
      </w:r>
      <w:r w:rsidDel="00000000" w:rsidR="00000000" w:rsidRPr="00000000">
        <w:rPr>
          <w:rtl w:val="0"/>
        </w:rPr>
        <w:br w:type="textWrapping"/>
        <w:t xml:space="preserve">14 / 16</w:t>
        <w:br w:type="textWrapping"/>
        <w:t xml:space="preserve">1234567891011121314151617181920212223242526272829</w:t>
        <w:br w:type="textWrapping"/>
        <w:t xml:space="preserve">(866) 787-8676 Ext. 9619 Fax: 1-844-236-3646 </w:t>
      </w:r>
      <w:hyperlink r:id="rId11">
        <w:r w:rsidDel="00000000" w:rsidR="00000000" w:rsidRPr="00000000">
          <w:rPr>
            <w:color w:val="1155cc"/>
            <w:u w:val="single"/>
            <w:rtl w:val="0"/>
          </w:rPr>
          <w:t xml:space="preserve">statefarmfireclaims@statefarm.com</w:t>
        </w:r>
      </w:hyperlink>
      <w:r w:rsidDel="00000000" w:rsidR="00000000" w:rsidRPr="00000000">
        <w:rPr>
          <w:rtl w:val="0"/>
        </w:rPr>
        <w:t xml:space="preserve"> For Number, your protection, credit/debit when card emailing ber Please contact us at (866) 787-8676 State ((fit Farm, account please Ext. 9619 to do not include sensitive ber). driver's license discuss sensitive information.</w:t>
        <w:br w:type="textWrapping"/>
        <w:t xml:space="preserve">personal ber, or information health/medical such infc as Social Security in an email. State Farm General Insurance Company</w:t>
        <w:br w:type="textWrapping"/>
        <w:t xml:space="preserve">Take Go preferences, to advantage statefarm.com® and of many our to self-service other easily insurance review options claim services.</w:t>
        <w:br w:type="textWrapping"/>
        <w:t xml:space="preserve">status, update communication and claim payment</w:t>
        <w:br w:type="textWrapping"/>
      </w:r>
      <w:r w:rsidDel="00000000" w:rsidR="00000000" w:rsidRPr="00000000">
        <w:rPr>
          <w:b w:val="1"/>
          <w:bCs w:val="1"/>
          <w:rtl w:val="0"/>
        </w:rPr>
        <w:t xml:space="preserve">OPPOSITION TO ATTORNEY’S FEES</w:t>
      </w:r>
      <w:r w:rsidDel="00000000" w:rsidR="00000000" w:rsidRPr="00000000">
        <w:rPr>
          <w:rtl w:val="0"/>
        </w:rPr>
        <w:br w:type="textWrapping"/>
        <w:t xml:space="preserve">15 / 16</w:t>
        <w:br w:type="textWrapping"/>
        <w:t xml:space="preserve">1234567891011121314151617181920212223242526272829</w:t>
        <w:br w:type="textWrapping"/>
      </w:r>
      <w:r w:rsidDel="00000000" w:rsidR="00000000" w:rsidRPr="00000000">
        <w:rPr>
          <w:b w:val="1"/>
          <w:bCs w:val="1"/>
          <w:rtl w:val="0"/>
        </w:rPr>
        <w:t xml:space="preserve">PROOF OF SERVICE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 am over the age of 18 and not a party to this action. My business address is 409 East Woodbury Road, Altadena, CA 91001. On 11-08-2025, I served the foregoing OPPOSITION TO ATTORNEYS FEES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Attorney for Petitioner Kirk A. Kolodji, Esq. Kolodji Family Law, PC 35 N. Lake Ave., Ste. 710, Pasadena, CA 91101 Tel: (310) 691-9671 • Email: </w:t>
      </w:r>
      <w:hyperlink r:id="rId12">
        <w:r w:rsidDel="00000000" w:rsidR="00000000" w:rsidRPr="00000000">
          <w:rPr>
            <w:color w:val="1155cc"/>
            <w:u w:val="single"/>
            <w:rtl w:val="0"/>
          </w:rPr>
          <w:t xml:space="preserve">kirk@kolodjifamilylaw.com</w:t>
        </w:r>
      </w:hyperlink>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X By Electronic Service (CRC 2.251). Based on a written agreement to accept service electronically, I caused the document to be served at the email address listed above. —OR— ☐ By Mail. I deposited the document in the mail at Altadena, California, with postage fully prepaid, addressed as above. —OR— ☐ By Personal Service. I personally delivered the document to the address above.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I declare under penalty of perjury under the laws of the State of California that the foregoing is true and correct. Samera Arkel</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San Antonio Texas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OPPOSITION TO ATTORNEY’S FEES</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16 / 16</w:t>
      </w:r>
    </w:p>
    <w:p w:rsidR="00000000" w:rsidDel="00000000" w:rsidP="00000000" w:rsidRDefault="00000000" w:rsidRPr="00000000" w14:paraId="000002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statefarmfireclaims@statefarm.com" TargetMode="External"/><Relationship Id="rId10" Type="http://schemas.openxmlformats.org/officeDocument/2006/relationships/hyperlink" Target="http://www.thefoxxfirm.com" TargetMode="External"/><Relationship Id="rId12" Type="http://schemas.openxmlformats.org/officeDocument/2006/relationships/hyperlink" Target="mailto:kirk@kolodjifamilylaw.com" TargetMode="External"/><Relationship Id="rId9" Type="http://schemas.openxmlformats.org/officeDocument/2006/relationships/hyperlink" Target="mailto:freddy@thefoxxfirm.com" TargetMode="External"/><Relationship Id="rId5" Type="http://schemas.openxmlformats.org/officeDocument/2006/relationships/styles" Target="styles.xml"/><Relationship Id="rId6" Type="http://schemas.openxmlformats.org/officeDocument/2006/relationships/hyperlink" Target="mailto:donotreply@lacourt.org" TargetMode="External"/><Relationship Id="rId7" Type="http://schemas.openxmlformats.org/officeDocument/2006/relationships/hyperlink" Target="mailto:eric@recovery-compass.org" TargetMode="External"/><Relationship Id="rId8" Type="http://schemas.openxmlformats.org/officeDocument/2006/relationships/hyperlink" Target="mailto:onlineservices@lacour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