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cjzblj9y327" w:id="0"/>
      <w:bookmarkEnd w:id="0"/>
      <w:r w:rsidDel="00000000" w:rsidR="00000000" w:rsidRPr="00000000">
        <w:rPr>
          <w:rtl w:val="0"/>
        </w:rPr>
        <w:t xml:space="preserve">Hunter Protocol: Operational Package for Sayegh &amp; Quinones Investigation</w:t>
      </w:r>
    </w:p>
    <w:p w:rsidR="00000000" w:rsidDel="00000000" w:rsidP="00000000" w:rsidRDefault="00000000" w:rsidRPr="00000000" w14:paraId="00000002">
      <w:pPr>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Activation Date:</w:t>
      </w:r>
      <w:r w:rsidDel="00000000" w:rsidR="00000000" w:rsidRPr="00000000">
        <w:rPr>
          <w:rtl w:val="0"/>
        </w:rPr>
        <w:t xml:space="preserve"> December 6, 2025</w:t>
        <w:br w:type="textWrapping"/>
      </w:r>
      <w:r w:rsidDel="00000000" w:rsidR="00000000" w:rsidRPr="00000000">
        <w:rPr>
          <w:b w:val="1"/>
          <w:bCs w:val="1"/>
          <w:rtl w:val="0"/>
        </w:rPr>
        <w:t xml:space="preserve">Prepared by:</w:t>
      </w:r>
      <w:r w:rsidDel="00000000" w:rsidR="00000000" w:rsidRPr="00000000">
        <w:rPr>
          <w:rtl w:val="0"/>
        </w:rPr>
        <w:t xml:space="preserve"> Manus AI</w:t>
        <w:br w:type="textWrapping"/>
      </w:r>
      <w:r w:rsidDel="00000000" w:rsidR="00000000" w:rsidRPr="00000000">
        <w:rPr>
          <w:b w:val="1"/>
          <w:bCs w:val="1"/>
          <w:rtl w:val="0"/>
        </w:rPr>
        <w:t xml:space="preserve">Objective:</w:t>
      </w:r>
      <w:r w:rsidDel="00000000" w:rsidR="00000000" w:rsidRPr="00000000">
        <w:rPr>
          <w:rtl w:val="0"/>
        </w:rPr>
        <w:t xml:space="preserve"> Operationalize the Sayegh &amp; Quinones investigation plan using the n8n RAG architecture, Firecrawl MCP, and bleeding-edge OSINT tools to monitor targets and pierce the USVI shell corporate veil.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t8k83h4gdrl" w:id="1"/>
      <w:bookmarkEnd w:id="1"/>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t xml:space="preserve">This document outlines the complete operational package for the Hunter Protocol, activated to pursue the Sayegh &amp; Quinones investigation. It details the n8n workflow for continuous monitoring of target entities, the deployment of a dual-tool OSINT strategy for corporate veil piercing, and the specific, execution-ready search queries for the "Ghost Asset" hunt. The recommended architecture combines the Firecrawl MCP for web scraping, a custom n8n workflow for automation, and a primary/secondary OSINT toolset of Intelligence X and DeHashed.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sfk2168yw3q5" w:id="2"/>
      <w:bookmarkEnd w:id="2"/>
      <w:r w:rsidDel="00000000" w:rsidR="00000000" w:rsidRPr="00000000">
        <w:rPr>
          <w:rtl w:val="0"/>
        </w:rPr>
        <w:t xml:space="preserve">2. Workflow Design: n8n Monitoring with Firecrawl MCP</w:t>
      </w:r>
    </w:p>
    <w:p w:rsidR="00000000" w:rsidDel="00000000" w:rsidP="00000000" w:rsidRDefault="00000000" w:rsidRPr="00000000" w14:paraId="0000000A">
      <w:pPr>
        <w:rPr/>
      </w:pPr>
      <w:r w:rsidDel="00000000" w:rsidR="00000000" w:rsidRPr="00000000">
        <w:rPr>
          <w:rtl w:val="0"/>
        </w:rPr>
        <w:t xml:space="preserve">This section details the n8n workflow designed to monitor 'Perfected Claims LLC' and 'Alta Design Works' for new court filings, corporate status changes, and data breaches. The workflow leverages the Firecrawl MCP for web scraping and is designed for autonomous, scheduled execution.</w:t>
      </w:r>
    </w:p>
    <w:p w:rsidR="00000000" w:rsidDel="00000000" w:rsidP="00000000" w:rsidRDefault="00000000" w:rsidRPr="00000000" w14:paraId="0000000B">
      <w:pPr>
        <w:pStyle w:val="Heading3"/>
        <w:rPr/>
      </w:pPr>
      <w:bookmarkStart w:colFirst="0" w:colLast="0" w:name="_ljh2eklcvink" w:id="3"/>
      <w:bookmarkEnd w:id="3"/>
      <w:r w:rsidDel="00000000" w:rsidR="00000000" w:rsidRPr="00000000">
        <w:rPr>
          <w:rtl w:val="0"/>
        </w:rPr>
        <w:t xml:space="preserve">Workflow Architecture</w:t>
      </w:r>
    </w:p>
    <w:p w:rsidR="00000000" w:rsidDel="00000000" w:rsidP="00000000" w:rsidRDefault="00000000" w:rsidRPr="00000000" w14:paraId="0000000C">
      <w:pPr>
        <w:rPr/>
      </w:pPr>
      <w:r w:rsidDel="00000000" w:rsidR="00000000" w:rsidRPr="00000000">
        <w:rPr>
          <w:rtl w:val="0"/>
        </w:rPr>
        <w:t xml:space="preserve">The workflow is organized into four parallel monitoring streams: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Court Filing Stream:</w:t>
      </w:r>
      <w:r w:rsidDel="00000000" w:rsidR="00000000" w:rsidRPr="00000000">
        <w:rPr>
          <w:rtl w:val="0"/>
        </w:rPr>
        <w:t xml:space="preserve"> Monitors the LA Superior Court for new filings related to the target entities.</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USVI Corporate Registry Stream:</w:t>
      </w:r>
      <w:r w:rsidDel="00000000" w:rsidR="00000000" w:rsidRPr="00000000">
        <w:rPr>
          <w:rtl w:val="0"/>
        </w:rPr>
        <w:t xml:space="preserve"> Tracks changes in corporate status, resident agents, and principals in the USVI corporate registry.</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Breach Monitoring Stream:</w:t>
      </w:r>
      <w:r w:rsidDel="00000000" w:rsidR="00000000" w:rsidRPr="00000000">
        <w:rPr>
          <w:rtl w:val="0"/>
        </w:rPr>
        <w:t xml:space="preserve"> Scans data breach repositories for compromised credentials or other indicators.</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Alert Aggregation and Notification:</w:t>
      </w:r>
      <w:r w:rsidDel="00000000" w:rsidR="00000000" w:rsidRPr="00000000">
        <w:rPr>
          <w:rtl w:val="0"/>
        </w:rPr>
        <w:t xml:space="preserve"> Consolidates alerts from all streams and notifies the investigation team of significant events.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i w:val="1"/>
          <w:iCs w:val="1"/>
          <w:rtl w:val="0"/>
        </w:rPr>
        <w:t xml:space="preserve">For a complete, node-by-node specification of the n8n workflow, please refer to the attached document: </w:t>
      </w:r>
      <w:r w:rsidDel="00000000" w:rsidR="00000000" w:rsidRPr="00000000">
        <w:rPr>
          <w:rFonts w:ascii="Roboto Mono" w:cs="Roboto Mono" w:eastAsia="Roboto Mono" w:hAnsi="Roboto Mono"/>
          <w:i w:val="1"/>
          <w:iCs w:val="1"/>
          <w:color w:val="188038"/>
          <w:rtl w:val="0"/>
        </w:rPr>
        <w:t xml:space="preserve">hunter_protocol_n8n_workflow.md</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b1ex9fnb12lj" w:id="4"/>
      <w:bookmarkEnd w:id="4"/>
      <w:r w:rsidDel="00000000" w:rsidR="00000000" w:rsidRPr="00000000">
        <w:rPr>
          <w:rtl w:val="0"/>
        </w:rPr>
        <w:t xml:space="preserve">3. Tool Deployment: OSINT for USVI Shell Veil Piercing</w:t>
      </w:r>
    </w:p>
    <w:p w:rsidR="00000000" w:rsidDel="00000000" w:rsidP="00000000" w:rsidRDefault="00000000" w:rsidRPr="00000000" w14:paraId="00000017">
      <w:pPr>
        <w:rPr/>
      </w:pPr>
      <w:r w:rsidDel="00000000" w:rsidR="00000000" w:rsidRPr="00000000">
        <w:rPr>
          <w:rtl w:val="0"/>
        </w:rPr>
        <w:t xml:space="preserve">This section outlines the recommended OSINT toolset for piercing the 'USVI Shell' corporate veil identified in Phase 1 of the investigation. The strategy employs a dual-tool approach, leveraging the strengths of both Intelligence X and DeHashed.</w:t>
      </w:r>
    </w:p>
    <w:p w:rsidR="00000000" w:rsidDel="00000000" w:rsidP="00000000" w:rsidRDefault="00000000" w:rsidRPr="00000000" w14:paraId="00000018">
      <w:pPr>
        <w:pStyle w:val="Heading3"/>
        <w:rPr/>
      </w:pPr>
      <w:bookmarkStart w:colFirst="0" w:colLast="0" w:name="_6rvx8qz875hy" w:id="5"/>
      <w:bookmarkEnd w:id="5"/>
      <w:r w:rsidDel="00000000" w:rsidR="00000000" w:rsidRPr="00000000">
        <w:rPr>
          <w:rtl w:val="0"/>
        </w:rPr>
        <w:t xml:space="preserve">Primary Tool: Intelligence X Identity Portal</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Justification:</w:t>
      </w:r>
      <w:r w:rsidDel="00000000" w:rsidR="00000000" w:rsidRPr="00000000">
        <w:rPr>
          <w:rtl w:val="0"/>
        </w:rPr>
        <w:t xml:space="preserve"> Intelligence X is the superior tool for active investigation due to its extensive darknet coverage, historical data access, and advanced search capabilities (including cryptocurrency addresses). The "Identity Portal" feature, with its line-by-line result visualization and CSV export, is particularly well-suited for analyzing complex corporate structures.</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Use Cases:</w:t>
      </w:r>
      <w:r w:rsidDel="00000000" w:rsidR="00000000" w:rsidRPr="00000000">
        <w:rPr>
          <w:rtl w:val="0"/>
        </w:rPr>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Investigating resident agents to identify nominee service patterns.</w:t>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Tracing cryptocurrency transactions associated with the target entities.</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Monitoring darknet forums for mentions of the target entities.</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Analyzing historical website snapshots to identify changes in ownership or contact information.</w:t>
      </w:r>
    </w:p>
    <w:p w:rsidR="00000000" w:rsidDel="00000000" w:rsidP="00000000" w:rsidRDefault="00000000" w:rsidRPr="00000000" w14:paraId="0000001F">
      <w:pPr>
        <w:pStyle w:val="Heading3"/>
        <w:rPr/>
      </w:pPr>
      <w:bookmarkStart w:colFirst="0" w:colLast="0" w:name="_zhnmazycwzph" w:id="6"/>
      <w:bookmarkEnd w:id="6"/>
      <w:r w:rsidDel="00000000" w:rsidR="00000000" w:rsidRPr="00000000">
        <w:rPr>
          <w:rtl w:val="0"/>
        </w:rPr>
        <w:t xml:space="preserve">Secondary Tool: DeHashed</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Justification:</w:t>
      </w:r>
      <w:r w:rsidDel="00000000" w:rsidR="00000000" w:rsidRPr="00000000">
        <w:rPr>
          <w:rtl w:val="0"/>
        </w:rPr>
        <w:t xml:space="preserve"> DeHashed provides excellent value for real-time breach monitoring and WHOIS intelligence, complementing Intelligence X's investigative focus.</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Use Cases:</w:t>
      </w:r>
      <w:r w:rsidDel="00000000" w:rsidR="00000000" w:rsidRPr="00000000">
        <w:rPr>
          <w:rtl w:val="0"/>
        </w:rPr>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Setting up automated alerts for new data breaches involving the target entities' domains.</w:t>
      </w:r>
    </w:p>
    <w:p w:rsidR="00000000" w:rsidDel="00000000" w:rsidP="00000000" w:rsidRDefault="00000000" w:rsidRPr="00000000" w14:paraId="00000023">
      <w:pPr>
        <w:numPr>
          <w:ilvl w:val="1"/>
          <w:numId w:val="2"/>
        </w:numPr>
        <w:ind w:left="1440" w:hanging="360"/>
      </w:pPr>
      <w:r w:rsidDel="00000000" w:rsidR="00000000" w:rsidRPr="00000000">
        <w:rPr>
          <w:rtl w:val="0"/>
        </w:rPr>
        <w:t xml:space="preserve">Using reverse WHOIS to discover other domains registered by the same individuals or organizations.</w:t>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Conducting cost-effective, high-volume searches for simple indicators like email addresses or usernames.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rtl w:val="0"/>
        </w:rPr>
        <w:t xml:space="preserve">For a detailed comparative analysis of these tools, please refer to the attached document: </w:t>
      </w:r>
      <w:r w:rsidDel="00000000" w:rsidR="00000000" w:rsidRPr="00000000">
        <w:rPr>
          <w:rFonts w:ascii="Roboto Mono" w:cs="Roboto Mono" w:eastAsia="Roboto Mono" w:hAnsi="Roboto Mono"/>
          <w:i w:val="1"/>
          <w:iCs w:val="1"/>
          <w:color w:val="188038"/>
          <w:rtl w:val="0"/>
        </w:rPr>
        <w:t xml:space="preserve">osint_tool_comparison.md</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xao3y7nwzsja" w:id="7"/>
      <w:bookmarkEnd w:id="7"/>
      <w:r w:rsidDel="00000000" w:rsidR="00000000" w:rsidRPr="00000000">
        <w:rPr>
          <w:rtl w:val="0"/>
        </w:rPr>
        <w:t xml:space="preserve">4. Execution: Ghost Asset Hunt Search Queries</w:t>
      </w:r>
    </w:p>
    <w:p w:rsidR="00000000" w:rsidDel="00000000" w:rsidP="00000000" w:rsidRDefault="00000000" w:rsidRPr="00000000" w14:paraId="0000002A">
      <w:pPr>
        <w:rPr/>
      </w:pPr>
      <w:r w:rsidDel="00000000" w:rsidR="00000000" w:rsidRPr="00000000">
        <w:rPr>
          <w:rtl w:val="0"/>
        </w:rPr>
        <w:t xml:space="preserve">This section provides the specific, execution-ready search query strings for the "Ghost Asset" hunt, to be executed by the Executor Agent using the deployed OSINT tools.</w:t>
      </w:r>
    </w:p>
    <w:p w:rsidR="00000000" w:rsidDel="00000000" w:rsidP="00000000" w:rsidRDefault="00000000" w:rsidRPr="00000000" w14:paraId="0000002B">
      <w:pPr>
        <w:pStyle w:val="Heading3"/>
        <w:rPr/>
      </w:pPr>
      <w:bookmarkStart w:colFirst="0" w:colLast="0" w:name="_ykhlgfcnawnf" w:id="8"/>
      <w:bookmarkEnd w:id="8"/>
      <w:r w:rsidDel="00000000" w:rsidR="00000000" w:rsidRPr="00000000">
        <w:rPr>
          <w:rtl w:val="0"/>
        </w:rPr>
        <w:t xml:space="preserve">Intelligence X Queries</w:t>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Wildcard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*.perfectedclaims.com</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*@perfectedclaims.com</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[RESIDENT_AGENT_EMAIL_DOMAIN]</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Cryptocurrency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Tracing:</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[BITCOIN_ADDRESS]</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[ETHEREUM_ADDRESS]</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Darknet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Mentions:</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phrase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matching)</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Website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Snapshots:</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perfectedclaims.com</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2015-2020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changes)</w:t>
      </w:r>
      <w:r w:rsidDel="00000000" w:rsidR="00000000" w:rsidRPr="00000000">
        <w:rPr>
          <w:rtl w:val="0"/>
        </w:rPr>
      </w:r>
    </w:p>
    <w:p w:rsidR="00000000" w:rsidDel="00000000" w:rsidP="00000000" w:rsidRDefault="00000000" w:rsidRPr="00000000" w14:paraId="00000043">
      <w:pPr>
        <w:pStyle w:val="Heading3"/>
        <w:rPr/>
      </w:pPr>
      <w:bookmarkStart w:colFirst="0" w:colLast="0" w:name="_cn57fncyg97" w:id="9"/>
      <w:bookmarkEnd w:id="9"/>
      <w:r w:rsidDel="00000000" w:rsidR="00000000" w:rsidRPr="00000000">
        <w:rPr>
          <w:rtl w:val="0"/>
        </w:rPr>
        <w:t xml:space="preserve">DeHashed Queries</w:t>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Monitoring:</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email:@perfectedclaims.com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email:@altadesignworks.com</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username:perfectedclaims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username:altadesign</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ip:[IP_ADDRESS_FROM_COURT_FILINGS]</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Reverse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Lookup:</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[REGISTRANT_NAME_FROM_USVI_REGISTRY]</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1jpdy818ffna" w:id="10"/>
      <w:bookmarkEnd w:id="10"/>
      <w:r w:rsidDel="00000000" w:rsidR="00000000" w:rsidRPr="00000000">
        <w:rPr>
          <w:rtl w:val="0"/>
        </w:rPr>
        <w:t xml:space="preserve">5. Deployment and Execution Directive</w:t>
      </w:r>
    </w:p>
    <w:p w:rsidR="00000000" w:rsidDel="00000000" w:rsidP="00000000" w:rsidRDefault="00000000" w:rsidRPr="00000000" w14:paraId="00000052">
      <w:pPr>
        <w:rPr/>
      </w:pPr>
      <w:r w:rsidDel="00000000" w:rsidR="00000000" w:rsidRPr="00000000">
        <w:rPr>
          <w:b w:val="1"/>
          <w:bCs w:val="1"/>
          <w:rtl w:val="0"/>
        </w:rPr>
        <w:t xml:space="preserve">DIRECTIVE:</w:t>
      </w:r>
      <w:r w:rsidDel="00000000" w:rsidR="00000000" w:rsidRPr="00000000">
        <w:rPr>
          <w:rtl w:val="0"/>
        </w:rPr>
        <w:t xml:space="preserve"> This operational package is now active. The Executor Agent is authorized to deploy the n8n workflow, procure the necessary OSINT tool subscriptions, and begin executing the Ghost Asset Hunt search queries immediately. The workflow is to be monitored for 72 hours, with adjustments made to scraping selectors and alert thresholds as needed based on real-world performance. All findings are to be logged in the Supabase "OSINT_Targets" and "OSINT_Intelligence" tables for continuous analysis.</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