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ANALYSIS - Recovery Compass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Strategic Assessment &amp; Intelligence Briefing_ Sayegh v. Sayegh (Case No. 25PDRO01246).pdf</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ANALYSIS: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RAW DATA: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Transcript: Speaker 1  00:00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assessment and intelligence briefing, Sayegh versus Sayegh case number, veintinko, pedrocero, mildocientos, cuarenta y ces one situational assessment and strategic imperatives, 1.1 executive overview. This briefing provides the legal team with a comprehensive analysis of the saya V Sayegh Maher, focusing on critical tactical developments and outlining a multi front strategic offensive, the adversary's documented professional misconduct, coupled with recent willful violations of court orders, has created a significant asymmetric advantage. Our core objective is to leverage these vulnerabilities to achieve the immediate safety of our client and her children, while simultaneously pursuing long term accountability for the adversary and his network of enablers. This document presents a detailed action plan to prosecute these vulnerabilities, secure a permanent restraining order and initiate the systematic dismantlement of the adversary's support structure, 1.2 current case status. The following table summarizes the key attributes of the primary legal action. All data is sourced directly from the active case file. Case attribute status details case number 20 5p, DRO 01, 1246. Court, Superior Court of California, County of Los Angeles, Pasadena, courthouse. Case type, Domestic Violence Prevention Act, dvpa, petitioner, Nuha Saye, respondent, fad Freddie Saye, active order, temporary restraining order, tree R O form dv, 110 issued September 10, 2025 scheduled hearing. ROA, October 1, 2025, scheduled hearing, ex parte. September 18, 2025, at 8:30am, in depth, 1.3 core strategic objective, the primary strategic objective, is the systematic dismantlement of the adversary's network through a coordinated three axis offensive, one, witness coalition building. Two, economic warfare via regulatory pressure, and three, a multi front litigation offensive. The immediate goal is to secure a permanent restraining order and obtain sole legal and physical custody of the minor children. The long term goal is the complete neutralization of the adversary's professional and financial network, thereby eliminating his capacity to inflict further harm. Recent tactical developments, including a blatant violation of the active restraining order, have accelerated the strategic timeline and created an opportunity to achieve immediate and decisive court intervention. Two, analysis of key tactical developments. 2.1, service of temporary restraining order. Confirming personal service of a temporary restraining order, tro is a foundational tactical milestone. It establishes the adversary's actual notice of the court's prohibitions and triggers the full enforceability of the order by law enforcement. This formal notice is a prerequisite for any subsequent contempt of court proceedings or enforcement actions arising from violations, transforming the order from a judicial directive into an actionable instrument for client protection based on the file proof of personal service, dv, 200 respondent, fat Sayegh, was personally served with the tro on September 14, 2025 at approximately 9:30am service was effectuated at the address of 1226 Sonoma, Dr Pasadena sa the File dv 200 serves as the conclusive evidentiary basis for respondents knowledge of the court's orders. 2.2 post service violation and contempt of court on September 17, 2025, at 11:01am, Respondent. FA, HUD, Sayegh willfully violated the active tro he initiated a phone call to the minor child, Mia, age 13, during which he told her that the restraining order was gone and that he would see her soon. This unsolicited communication is a direct contravention of the personal conduct and stay away provisions detailed in the DV 110 order. This action is a predictable but strategically fatal blunder by the adversary. It constitutes a direct and willful violation of a lawful court order, making it a clear act of contempt. Furthermore, as established in N, T, V, H, t2, 1019 34 Cal, da, fifth, 595 a violation of A, T, R, O is in and of itself, a further act of abuse under the Domestic Violence Prevention Act. This new act of abuse provides critical leverage for the upcoming ex parte hearing demonstrating respondents disregard for judicial authority and the immediate risk he poses to the children. In response to this violation law enforcement. Enforcement was immediately notified to create an official record and establish a predicate for criminal enforcement. Three adversary network analysis, pattern of coercive control. 3.1 profile of primary adversary, fad Freddie Saye the adversary's actions are not isolated incidents of poor judgment, but are part of a documented, long standing pattern of professional misconduct, abusive litigation tactics and coercive control. This pattern provides a clear framework for understanding his current behavior and predicting his future actions. Professional status, Fahd Freddie, Saye bar 230,297 has been not eligible to practice law in California, effective February 14, 2025 this status is the result of 16 documented acts of misconduct, including making misrepresentations and misleading judicial officers unauthorized practice of law OPL On August 15, 2025 while ineligible to practice. Sayegh moderated a legal education event for LA Fire justice. This act of holding himself out as an attorney is a direct violation of California Business and Professions Code, SSS, 6125 and 6126 a history of abuse. The record includes sworn declarations from Nuha Sayegh detailing physical beatings stalking and coercive control. This is corroborated by intelligence reports outlining a history of childhood trauma, including an eyewitness account of his father, Nabil Sayegh, physically striking him as a child, providing context for a generational pattern of violence, 3.2 analysis of CO conspirators and enablers. Fad Saye does not operate in isolation. He is supported and enabled by a family network that actively participates in and orchestrates abuse. This network functions to preserve a carefully constructed social and financial status, often at the direct expense of family members who challenge the established hierarchy, adversary, support network, key nodes and functions, participant relationship to principal parties, assessed role in coercive control. Marjeez Sayegh, mother of Nuha, mother in law of FA HUD, central orchestrator and enabler, allegedly supplied illegal drugs to Fahd that fueled his abuse of her daughter, Nuha, directly contributing to nuha's own addiction. Tina Yaqub nay Sayegh, sister of Nuha, Sister in law of FA HUD, antagonist actively participates in the campaign to discredit Nuha, aligning with the family faction opposing her. Anthony Yakub, husband of Tina, brother in law of Nuha, aggressive ally. Exhibits controlling behavior and aggressively directs personal issues outward onto Nuha. Nabeel Sayegh, father in law of Nuha, father of FA HUD, primary aggressor, enabler, history of chronic anger and violence, allegedly orchestrated a premeditated sexual assault against his own wife, Linda Nuha Sayegh petitioner's Aunt, aunt of Nuha, enabler aligned with her sister, Margie, allegedly engaged in illegal surveillance against her own ex husband. This network analysis confirms the necessity of a multi front strategy that neutralizes not only the primary adversary but also the support structure that facilitates his abusive conduct for assessment of multi domain violations, 4.1 domestic violence and family law violations, respondents conduct provides multiple Independent grounds for severe sanctions under the California Domestic Violence Prevention Act dvpa, triggering severe consequences related to personal liberty and parental rights abuse. Fam code, ss, 6203 Ss, 6320 the documented history of physical beatings, stalking and coercive control, culminating in the post service troe violation on September 17, 2025 squarely meets the statutory definition of abuse, immediate harm to child. Fam code, ss, 3064 the demonstrated and continuing pattern of domestic violence, coupled with concerns about respondents illegal access to firearms establishes immediate harm to the child and justifies the pending ex parte application for emergency custody orders. This threat is not abstract. The California Department of Justice's 2024 apps report confirms that as of January 1, 2025 4259</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09:46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individuals, 16.4% of the total in the States armed and prohibited persons database are prohibited due to restraining orders, underscoring the significant public safety threat this specific. Scenario represents presumption against custody. Pham code, SS 3044 a judicial finding of domestic violence, which is strongly supported by the evidence will trigger the rebuttable presumption that an award of sole or joint, physical or legal custody of a child to the respondent would be detrimental to the best interest of the child, 4.2 unauthorized practice of law UPL and professional misconduct respondents continued engagement in law related activities while ineligible, and the supervisory failures of his associates create significant regulatory exposure and civil liability for all involved parties, providing direct avenues for attack an unauthorized practice of law B and P code. SS, 60, 125 SS, 6126 respondents, moderation of the LA Fire justice event on August 15, 2025 constitutes the unlawful practice of law, a misdemeanor offense when supervisory failures. CRPC rule 5.1 attorney Douglas boxer and his firm, Sunridge Law Group, have a direct duty to ensure compliance with professional rules their failure to supervise Saya, a known ineligible person operating under their firm's brand, exposes them to vicarious liability and State Bar discipline and State Bar Act violations. Siyon's conduct is grounds for further more severe discipline, notably, abetting the unauthorized practice of law is a stated priority for the state bar's Office of Chief trial counsel, increasing the likelihood of a swift and decisive investigation. 4.3, regulatory and compliance violations, the entities associated with respondent are operating in violation of state compliance laws, creating an additional front for regulatory enforcement a search of the California Attorney General's registry of charities and fundraisers revealed no matching record for LA Fire justice or sun Ridge Law Group. This indicates a failure to comply with mandatory registration laws for entities soliciting charitable donations in California, and forms a key basis for the economic warfare axis of the overall strategic offensive five strategic directives and action plan 5.1, immediate pre hearing directives, fortress protocol. The following actions are designed to secure the immediate safety of the petitioner and her children and to solidify our tactical position for the September 18 ex parte hearing one, enforce restraining order, transmit the conformed temporary restraining order, dv, 110 and the filed proof of personal service, dv, 200 to both the LASD temple station and lest altadina station with a formal request for priority entry into The California law enforcement telecommunication system. Klets, this action directly supports the statewide armed and prohibited persons system, apps program these public safety objectives by ensuring near real time data for responding officers, two secure emergency custody finalize and file the ex parte application for emergency custody orders. The application will be primarily based on the September 17 tro violation, citing the immediate harm standard under family code SS, 364, three, implement school safety protocols, transmit the conformed dv 110 and dv 200 to the children's schools. We will request a specific order at the hearing prohibiting the respondent from harassing or disturbing the peace at all school locations. Four, initiate asset retrieval, coordinate with the Los Angeles County Sheriff's Department to schedule a civil stand by facilitating the safe and lawful retrieval of the petitioner's essential personal belongings from the former residence. 5.2 long term objectives, spear, protocol and accountability offensive, these directives constitute the long term offensive aimed at achieving professional, regulatory and financial accountability, thereby neutralizing the adversary's capacity for future harm. One target, Supervisory failures execute and transmit the supervisory demand to Sunridge Law Group letter via email and certified mail to Attorney Douglas boxer, focusing on his duties and liability under California rule of professional conduct. 5.12, challenge entity governance. Send the governance and registry compliance inquiry letter to LA Fire justice, demanding clarification of its corporate structure, leadership and compliance with state nonprofit laws. Three, initiate regulatory investigation, file a formal inquiry with the California Attorney General's charitable trusts section detailing the non registration of LA Fire justice and a. Hatching all supporting evidence. Four, prosecute UPL, finalize and submit the comprehensive state bar complaint packet case 25 oh, 25,791 against Fahed Sayegh for the unauthorized practice of law. The packet will include all forensically hashed exhibits and a detailed analysis of the Supervisory failures of his associates six conclusion maintaining asymmetric leverage. The adversary's status as an attorney deemed not eligible to practice law who is now engaging in the documented violation of a domestic violence restraining order creates a powerful asymmetric advantage his actions simultaneously constitute contempt of court, a new act of domestic violence and further grounds for State Bar discipline. This convergence of legal peril places him in an untenable strategic position. The faithful and systematic execution of the strategic directives outlined in this briefing will create overwhelming and non negotiable leverage to compel a favorable resolution at the upcoming restraining order hearing and in all subsequent accountability proceedings.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Transcribed by https://otter.ai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Summary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strategic assessment for the Sayegh vs. Sayegh case highlights a multi-front offensive to secure the safety of Nuha Sayegh and her children. Key developments include the service of a temporary restraining order (TRO) on September 14, 2025, and a subsequent violation by Fad Freddie Sayegh on September 17, 2025, which constitutes contempt of court. The adversary's network, including family members, is documented for coercive control. The action plan includes securing a permanent restraining order, obtaining sole custody, and dismantling the adversary's support structure. Regulatory violations and professional misconduct are also being addressed, aiming for comprehensive accountability.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Items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Enforce the restraining order by transmitting the conformed temporary restraining order (DV-110) and the filed proof of personal service (DV-200) to the LASD temple station and Altadena station, requesting priority entry into the California law enforcement telecommunication system (CLETS).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Secure emergency custody by finalizing and filing the ex parte application for emergency custody orders, primarily based on the September 17 TRO violation and the immediate harm standard under Family Code Sections 3064.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 school safety protocols by transmitting the conformed DV-110 and DV-200 to the children's schools and requesting a specific order at the hearing prohibiting the respondent from harassing or disturbing the peace at all school locations.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Initiate asset retrieval by coordinating with the Los Angeles County Sheriff's Department to schedule a civil standby, facilitating the safe and lawful retrieval of the petitioner's essential personal belongings from the former residence.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Execute and transmit the supervisory demand letter to Sunridge Law Group and Attorney Douglas Boxer, focusing on their duties and liability under California Rule of Professional Conduct 5.1.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 the governance and registry compliance inquiry letter to LA Fire Justice, demanding clarification of its corporate structure, leadership, and compliance with state nonprofit laws.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a formal inquiry with the California Attorney General's Charitable Trusts Section, detailing the non-registration of LA Fire Justice and attaching all supporting evidence.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Finalize and submit the comprehensive State Bar complaint packet (Case 25-OH-25,791) against Fahd Sayegh for the unauthorized practice of law, including all forensically hashed exhibits and a detailed analysis of the supervisory failures of his associates.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Insights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Outline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Situational Assessment and Strategic Imperatives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Speaker 1 outlines the strategic assessment and intelligence briefing for the Sayegh vs. Sayegh case, focusing on critical tactical developments and a multi-front strategic offensive.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The adversary's documented professional misconduct and recent willful violations of court orders have created a significant asymmetric advantage.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The core objective is to achieve the immediate safety of the client and her children while pursuing long-term accountability for the adversary and his network of enablers.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A detailed action plan is presented to prosecute these vulnerabilities, secure a permanent restraining order, and initiate the systematic dismantlement of the adversary's support structure.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Case Status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The primary legal action is summarized, with key attributes sourced directly from the active case file.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Case details include the court, Superior Court of California, County of Los Angeles, Pasadena courthouse, and the Domestic Violence Prevention Act (DVPA).</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The active order is a temporary restraining order (TRO) issued on September 10, 2025, with a scheduled hearing on October 1, 2025.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An ex parte hearing is scheduled for September 18, 2025, at 8:30 am.</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Strategic Objective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The primary strategic objective is the systematic dismantlement of the adversary's network through a coordinated three-axis offensive: witness coalition building, economic warfare via regulatory pressure, and a multi-front litigation offensive.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The immediate goal is to secure a permanent restraining order and obtain sole legal and physical custody of the minor children.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The long-term goal is the complete neutralization of the adversary's professional and financial network, eliminating his capacity to inflict further harm.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Recent tactical developments, including a violation of the active restraining order, have accelerated the strategic timeline and created an opportunity for immediate and decisive court intervention.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Analysis of Key Tactical Developments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Personal service of the temporary restraining order (TRO) is confirmed, establishing the adversary's actual notice of the court's prohibitions.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On September 17, 2025, at 11:01 am, the adversary willfully violated the active TRO by initiating a phone call to the minor child, Mia, constituting a direct contravention of the order.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This violation is a clear act of contempt and further abuse under the Domestic Violence Prevention Act, providing critical leverage for the upcoming ex parte hearing.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Law enforcement was immediately notified to create an official record and establish a predicate for criminal enforcement.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Adversary Network Analysis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The adversary's actions are part of a documented, long-standing pattern of professional misconduct, abusive litigation tactics, and coercive control.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Fahd Freddie Sayegh's professional status is not eligible to practice law in California, effective February 14, 2025, due to 16 documented acts of misconduct.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The adversary's history includes sworn declarations from Nuha Sayegh detailing physical beatings, stalking, and coercive control, corroborated by intelligence reports.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The adversary's support network, including family members, actively participates in and orchestrates abuse, preserving a carefully constructed social and financial status at the expense of family members.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Multi-Domain Violations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The adversary's conduct provides multiple independent grounds for severe sanctions under the California Domestic Violence Prevention Act (DVPA).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The documented history of physical beatings, stalking, and coercive control, culminating in the post-service TRO violation on September 17, 2025, meets the statutory definition of abuse.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The adversary's illegal access to firearms and the California Department of Justice's 2024 APPs report confirm the significant public safety threat.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A judicial finding of domestic violence will trigger the rebuttable presumption that an award of custody to the respondent would be detrimental to the best interest of the child.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Unauthorized Practice of Law and Professional Misconduct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The adversary's continued engagement in law-related activities while ineligible creates significant regulatory exposure and civil liability for all involved parties.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The adversary's moderation of the LA Fire justice event on August 15, 2025, constitutes the unlawful practice of law, a misdemeanor offense.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Supervisory failures by Attorney Douglas Boxer and his firm, Sunridge Law Group, expose them to vicarious liability and State Bar discipline.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The adversary's conduct is grounds for further severe discipline, notably, abetting the unauthorized practice of law is a stated priority for the State Bar's Office of Chief Trial Counsel.</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Regulatory and Compliance Violations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The entities associated with the adversary are operating in violation of state compliance laws, creating an additional front for regulatory enforcement.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A search of the California Attorney General's registry of charities and fundraisers revealed no matching record for LA Fire justice or Sun Ridge Law Group, indicating a failure to comply with mandatory registration laws.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This non-compliance forms a key basis for the economic warfare axis of the overall strategic offensive.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Directives and Action Plan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Immediate pre-hearing directives include enforcing the restraining order, securing emergency custody, implementing school safety protocols, and initiating asset retrieval.</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Long-term objectives include targeting supervisory failures, challenging entity governance, initiating regulatory investigations, and prosecuting unauthorized practice of law.</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The faithful and systematic execution of the strategic directives will create overwhelming and non-negotiable leverage to compel a favorable resolution at the upcoming restraining order hearing and in all subsequent accountability proceedings.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Items: assignee_email: None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assignee_name: None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Enforce the restraining order by transmitting the conformed temporary restraining order (DV-110) and the filed proof of personal service (DV-200) to the LASD temple station and Altadena station, requesting priority entry into the California law enforcement telecommunication system (CLETS).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assignee_email: None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assignee_name: None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Secure emergency custody by finalizing and filing the ex parte application for emergency custody orders, primarily based on the September 17 TRO violation and the immediate harm standard under Family Code Sections 3064.</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assignee_email: None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assignee_name: None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Implement school safety protocols by transmitting the conformed DV-110 and DV-200 to the children's schools and requesting a specific order at the hearing prohibiting the respondent from harassing or disturbing the peace at all school locations.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assignee_email: None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assignee_name: None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Initiate asset retrieval by coordinating with the Los Angeles County Sheriff's Department to schedule a civil standby, facilitating the safe and lawful retrieval of the petitioner's essential personal belongings from the former residence.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assignee_email: None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assignee_name: None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Execute and transmit the supervisory demand letter to Sunridge Law Group and Attorney Douglas Boxer, focusing on their duties and liability under California Rule of Professional Conduct 5.1.</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assignee_email: None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assignee_name: None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Send the governance and registry compliance inquiry letter to LA Fire Justice, demanding clarification of its corporate structure, leadership, and compliance with state nonprofit laws.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assignee_email: None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assignee_name: None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File a formal inquiry with the California Attorney General's Charitable Trusts Section, detailing the non-registration of LA Fire Justice and attaching all supporting evidence.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assignee_email: None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assignee_name: None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Finalize and submit the comprehensive State Bar complaint packet (Case 25-OH-25,791) against Fahd Sayegh for the unauthorized practice of law, including all forensically hashed exhibits and a detailed analysis of the supervisory failures of his associates.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Outline: Situational Assessment and Strategic Imperatives,Speaker 1 outlines the strategic assessment and intelligence briefing for the Sayegh vs. Sayegh case, focusing on critical tactical developments and a multi-front strategic offensive.,The adversary's documented professional misconduct and recent willful violations of court orders have created a significant asymmetric advantage.,The core objective is to achieve the immediate safety of the client and her children while pursuing long-term accountability for the adversary and his network of enablers.,A detailed action plan is presented to prosecute these vulnerabilities, secure a permanent restraining order, and initiate the systematic dismantlement of the adversary's support structure.,Current Case Status,The primary legal action is summarized, with key attributes sourced directly from the active case file.,Case details include the court, Superior Court of California, County of Los Angeles, Pasadena courthouse, and the Domestic Violence Prevention Act (DVPA).,The active order is a temporary restraining order (TRO) issued on September 10, 2025, with a scheduled hearing on October 1, 2025.,An ex parte hearing is scheduled for September 18, 2025, at 8:30 am.,Core Strategic Objective,The primary strategic objective is the systematic dismantlement of the adversary's network through a coordinated three-axis offensive: witness coalition building, economic warfare via regulatory pressure, and a multi-front litigation offensive.,The immediate goal is to secure a permanent restraining order and obtain sole legal and physical custody of the minor children.,The long-term goal is the complete neutralization of the adversary's professional and financial network, eliminating his capacity to inflict further harm.,Recent tactical developments, including a violation of the active restraining order, have accelerated the strategic timeline and created an opportunity for immediate and decisive court intervention.,Analysis of Key Tactical Developments,Personal service of the temporary restraining order (TRO) is confirmed, establishing the adversary's actual notice of the court's prohibitions.,On September 17, 2025, at 11:01 am, the adversary willfully violated the active TRO by initiating a phone call to the minor child, Mia, constituting a direct contravention of the order.,This violation is a clear act of contempt and further abuse under the Domestic Violence Prevention Act, providing critical leverage for the upcoming ex parte hearing.,Law enforcement was immediately notified to create an official record and establish a predicate for criminal enforcement.,Adversary Network Analysis,The adversary's actions are part of a documented, long-standing pattern of professional misconduct, abusive litigation tactics, and coercive control.,Fahd Freddie Sayegh's professional status is not eligible to practice law in California, effective February 14, 2025, due to 16 documented acts of misconduct.,The adversary's history includes sworn declarations from Nuha Sayegh detailing physical beatings, stalking, and coercive control, corroborated by intelligence reports.,The adversary's support network, including family members, actively participates in and orchestrates abuse, preserving a carefully constructed social and financial status at the expense of family members.,Multi-Domain Violations,The adversary's conduct provides multiple independent grounds for severe sanctions under the California Domestic Violence Prevention Act (DVPA).,The documented history of physical beatings, stalking, and coercive control, culminating in the post-service TRO violation on September 17, 2025, meets the statutory definition of abuse.,The adversary's illegal access to firearms and the California Department of Justice's 2024 APPs report confirm the significant public safety threat.,A judicial finding of domestic violence will trigger the rebuttable presumption that an award of custody to the respondent would be detrimental to the best interest of the child.,Unauthorized Practice of Law and Professional Misconduct,The adversary's continued engagement in law-related activities while ineligible creates significant regulatory exposure and civil liability for all involved parties.,The adversary's moderation of the LA Fire justice event on August 15, 2025, constitutes the unlawful practice of law, a misdemeanor offense.,Supervisory failures by Attorney Douglas Boxer and his firm, Sunridge Law Group, expose them to vicarious liability and State Bar discipline.,The adversary's conduct is grounds for further severe discipline, notably, abetting the unauthorized practice of law is a stated priority for the State Bar's Office of Chief Trial Counsel.,Regulatory and Compliance Violations,The entities associated with the adversary are operating in violation of state compliance laws, creating an additional front for regulatory enforcement.,A search of the California Attorney General's registry of charities and fundraisers revealed no matching record for LA Fire justice or Sun Ridge Law Group, indicating a failure to comply with mandatory registration laws.,This non-compliance forms a key basis for the economic warfare axis of the overall strategic offensive.,Strategic Directives and Action Plan,Immediate pre-hearing directives include enforcing the restraining order, securing emergency custody, implementing school safety protocols, and initiating asset retrieval.,Long-term objectives include targeting supervisory failures, challenging entity governance, initiating regulatory investigations, and prosecuting unauthorized practice of law.,The faithful and systematic execution of the strategic directives will create overwhelming and non-negotiable leverage to compel a favorable resolution at the upcoming restraining order hearing and in all subsequent accountability proceedings.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